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0442F" w:rsidTr="00E0442F">
        <w:trPr>
          <w:jc w:val="center"/>
        </w:trPr>
        <w:tc>
          <w:tcPr>
            <w:tcW w:w="743" w:type="dxa"/>
            <w:hideMark/>
          </w:tcPr>
          <w:p w:rsidR="00E0442F" w:rsidRDefault="00E0442F">
            <w:pPr>
              <w:jc w:val="both"/>
              <w:rPr>
                <w:rFonts w:ascii="Arial (W1)" w:hAnsi="Arial (W1)"/>
                <w:b/>
                <w:bCs/>
                <w:sz w:val="28"/>
                <w:szCs w:val="28"/>
              </w:rPr>
            </w:pPr>
            <w:r>
              <w:rPr>
                <w:b/>
                <w:bCs/>
                <w:sz w:val="28"/>
                <w:rtl/>
              </w:rPr>
              <w:t xml:space="preserve">לפני </w:t>
            </w:r>
          </w:p>
        </w:tc>
        <w:tc>
          <w:tcPr>
            <w:tcW w:w="8077" w:type="dxa"/>
            <w:gridSpan w:val="2"/>
            <w:hideMark/>
          </w:tcPr>
          <w:p w:rsidR="00E0442F" w:rsidRDefault="00E0442F" w:rsidP="005E15CC">
            <w:pPr>
              <w:jc w:val="left"/>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ליאת דהן חיון</w:t>
                </w:r>
                <w:r w:rsidR="00641EA6">
                  <w:rPr>
                    <w:rFonts w:ascii="Arial" w:hAnsi="Arial"/>
                    <w:b/>
                    <w:bCs/>
                    <w:rtl/>
                  </w:rPr>
                  <w:br/>
                </w:r>
              </w:sdtContent>
            </w:sdt>
          </w:p>
        </w:tc>
      </w:tr>
      <w:tr w:rsidR="00E0442F" w:rsidTr="00E0442F">
        <w:trPr>
          <w:jc w:val="center"/>
        </w:trPr>
        <w:tc>
          <w:tcPr>
            <w:tcW w:w="3249" w:type="dxa"/>
            <w:gridSpan w:val="2"/>
            <w:hideMark/>
          </w:tcPr>
          <w:sdt>
            <w:sdtPr>
              <w:rPr>
                <w:rtl/>
              </w:rPr>
              <w:alias w:val="1180"/>
              <w:tag w:val="1180"/>
              <w:id w:val="-803768281"/>
              <w:text w:multiLine="1"/>
            </w:sdtPr>
            <w:sdtEndPr/>
            <w:sdtContent>
              <w:p w:rsidR="00E0442F" w:rsidRDefault="00E0442F">
                <w:pPr>
                  <w:jc w:val="left"/>
                  <w:rPr>
                    <w:rFonts w:ascii="Arial (W1)" w:hAnsi="Arial (W1)"/>
                    <w:b/>
                    <w:bCs/>
                    <w:noProof w:val="0"/>
                    <w:sz w:val="28"/>
                    <w:szCs w:val="28"/>
                    <w:rtl/>
                  </w:rPr>
                </w:pPr>
                <w:r>
                  <w:rPr>
                    <w:b/>
                    <w:bCs/>
                    <w:noProof w:val="0"/>
                    <w:sz w:val="28"/>
                    <w:rtl/>
                  </w:rPr>
                  <w:t>תובע</w:t>
                </w:r>
              </w:p>
            </w:sdtContent>
          </w:sdt>
        </w:tc>
        <w:tc>
          <w:tcPr>
            <w:tcW w:w="5571" w:type="dxa"/>
            <w:hideMark/>
          </w:tcPr>
          <w:p w:rsidR="00E0442F" w:rsidRDefault="00637C52" w:rsidP="00641EA6">
            <w:pPr>
              <w:jc w:val="left"/>
              <w:rPr>
                <w:rFonts w:ascii="Arial" w:hAnsi="Arial"/>
                <w:b/>
                <w:bCs/>
                <w:noProof w:val="0"/>
                <w:sz w:val="26"/>
                <w:szCs w:val="26"/>
              </w:rPr>
            </w:pPr>
            <w:sdt>
              <w:sdtPr>
                <w:rPr>
                  <w:b/>
                  <w:bCs/>
                  <w:noProof w:val="0"/>
                  <w:sz w:val="28"/>
                  <w:rtl/>
                </w:rPr>
                <w:alias w:val="1478"/>
                <w:tag w:val="1478"/>
                <w:id w:val="160126198"/>
                <w:text w:multiLine="1"/>
              </w:sdtPr>
              <w:sdtEndPr/>
              <w:sdtContent>
                <w:r w:rsidR="00641EA6">
                  <w:rPr>
                    <w:rFonts w:hint="cs"/>
                    <w:b/>
                    <w:bCs/>
                    <w:noProof w:val="0"/>
                    <w:sz w:val="28"/>
                    <w:rtl/>
                  </w:rPr>
                  <w:t xml:space="preserve">פלוני </w:t>
                </w:r>
              </w:sdtContent>
            </w:sdt>
          </w:p>
          <w:p w:rsidR="00E0442F" w:rsidRDefault="00E0442F">
            <w:pPr>
              <w:jc w:val="left"/>
              <w:rPr>
                <w:rFonts w:ascii="Arial (W1)" w:hAnsi="Arial (W1)"/>
                <w:b/>
                <w:bCs/>
                <w:noProof w:val="0"/>
                <w:rtl/>
              </w:rPr>
            </w:pPr>
            <w:r>
              <w:rPr>
                <w:rFonts w:ascii="Arial" w:hAnsi="Arial"/>
                <w:b/>
                <w:bCs/>
                <w:noProof w:val="0"/>
                <w:rtl/>
              </w:rPr>
              <w:t>ע"י ב"כ עוה"ד</w:t>
            </w:r>
            <w:r>
              <w:rPr>
                <w:rFonts w:ascii="Arial (W1)" w:hAnsi="Arial (W1)"/>
                <w:b/>
                <w:bCs/>
                <w:noProof w:val="0"/>
                <w:rtl/>
              </w:rPr>
              <w:t xml:space="preserve"> אלדד בן הרוש</w:t>
            </w:r>
          </w:p>
        </w:tc>
      </w:tr>
      <w:tr w:rsidR="00E0442F" w:rsidTr="00E0442F">
        <w:trPr>
          <w:jc w:val="center"/>
        </w:trPr>
        <w:tc>
          <w:tcPr>
            <w:tcW w:w="8820" w:type="dxa"/>
            <w:gridSpan w:val="3"/>
          </w:tcPr>
          <w:p w:rsidR="00E0442F" w:rsidRDefault="00E0442F">
            <w:pPr>
              <w:rPr>
                <w:rFonts w:ascii="Arial (W1)" w:hAnsi="Arial (W1)"/>
                <w:b/>
                <w:bCs/>
                <w:noProof w:val="0"/>
                <w:sz w:val="28"/>
                <w:szCs w:val="28"/>
              </w:rPr>
            </w:pPr>
          </w:p>
          <w:p w:rsidR="00E0442F" w:rsidRDefault="00E0442F">
            <w:pPr>
              <w:jc w:val="center"/>
              <w:rPr>
                <w:b/>
                <w:bCs/>
                <w:noProof w:val="0"/>
                <w:sz w:val="28"/>
                <w:rtl/>
              </w:rPr>
            </w:pPr>
            <w:r>
              <w:rPr>
                <w:b/>
                <w:bCs/>
                <w:noProof w:val="0"/>
                <w:sz w:val="28"/>
                <w:rtl/>
              </w:rPr>
              <w:t>נגד</w:t>
            </w:r>
          </w:p>
          <w:p w:rsidR="00E0442F" w:rsidRDefault="00E0442F">
            <w:pPr>
              <w:rPr>
                <w:rFonts w:ascii="Arial (W1)" w:hAnsi="Arial (W1)"/>
                <w:b/>
                <w:bCs/>
                <w:noProof w:val="0"/>
                <w:sz w:val="28"/>
                <w:szCs w:val="28"/>
                <w:rtl/>
              </w:rPr>
            </w:pPr>
          </w:p>
        </w:tc>
      </w:tr>
      <w:tr w:rsidR="00E0442F" w:rsidTr="00E0442F">
        <w:trPr>
          <w:jc w:val="center"/>
        </w:trPr>
        <w:tc>
          <w:tcPr>
            <w:tcW w:w="3249" w:type="dxa"/>
            <w:gridSpan w:val="2"/>
            <w:hideMark/>
          </w:tcPr>
          <w:p w:rsidR="00E0442F" w:rsidRDefault="00637C52" w:rsidP="005E15CC">
            <w:pPr>
              <w:jc w:val="left"/>
              <w:rPr>
                <w:rFonts w:ascii="Arial (W1)" w:hAnsi="Arial (W1)"/>
                <w:b/>
                <w:bCs/>
                <w:noProof w:val="0"/>
                <w:sz w:val="28"/>
                <w:szCs w:val="28"/>
              </w:rPr>
            </w:pPr>
            <w:sdt>
              <w:sdtPr>
                <w:rPr>
                  <w:rtl/>
                </w:rPr>
                <w:alias w:val="1184"/>
                <w:tag w:val="1184"/>
                <w:id w:val="-910234160"/>
                <w:text w:multiLine="1"/>
              </w:sdtPr>
              <w:sdtEndPr/>
              <w:sdtContent>
                <w:r w:rsidR="00E0442F">
                  <w:rPr>
                    <w:b/>
                    <w:bCs/>
                    <w:noProof w:val="0"/>
                    <w:sz w:val="28"/>
                    <w:rtl/>
                  </w:rPr>
                  <w:t>נתבעים</w:t>
                </w:r>
              </w:sdtContent>
            </w:sdt>
          </w:p>
        </w:tc>
        <w:tc>
          <w:tcPr>
            <w:tcW w:w="5571" w:type="dxa"/>
            <w:hideMark/>
          </w:tcPr>
          <w:p w:rsidR="00E0442F" w:rsidRPr="00641EA6" w:rsidRDefault="00637C52" w:rsidP="00641EA6">
            <w:pPr>
              <w:jc w:val="left"/>
              <w:rPr>
                <w:b/>
                <w:bCs/>
              </w:rPr>
            </w:pPr>
            <w:sdt>
              <w:sdtPr>
                <w:rPr>
                  <w:b/>
                  <w:bCs/>
                  <w:rtl/>
                </w:rPr>
                <w:alias w:val="1571"/>
                <w:tag w:val="1571"/>
                <w:id w:val="-1361515445"/>
                <w:text w:multiLine="1"/>
              </w:sdtPr>
              <w:sdtEndPr/>
              <w:sdtContent>
                <w:r w:rsidR="00641EA6" w:rsidRPr="00641EA6">
                  <w:rPr>
                    <w:rFonts w:hint="cs"/>
                    <w:b/>
                    <w:bCs/>
                    <w:rtl/>
                  </w:rPr>
                  <w:t xml:space="preserve">אלמוני ואח' </w:t>
                </w:r>
              </w:sdtContent>
            </w:sdt>
          </w:p>
          <w:p w:rsidR="00E0442F" w:rsidRDefault="00E0442F">
            <w:pPr>
              <w:jc w:val="left"/>
              <w:rPr>
                <w:rFonts w:ascii="Arial (W1)" w:hAnsi="Arial (W1)"/>
                <w:b/>
                <w:bCs/>
                <w:noProof w:val="0"/>
                <w:rtl/>
              </w:rPr>
            </w:pPr>
            <w:r>
              <w:rPr>
                <w:rFonts w:ascii="Arial" w:hAnsi="Arial"/>
                <w:b/>
                <w:bCs/>
                <w:rtl/>
              </w:rPr>
              <w:t xml:space="preserve">כולם </w:t>
            </w:r>
            <w:r>
              <w:rPr>
                <w:rFonts w:ascii="Arial" w:hAnsi="Arial"/>
                <w:b/>
                <w:bCs/>
                <w:noProof w:val="0"/>
                <w:rtl/>
              </w:rPr>
              <w:t>ע"י ב"כ עוה"ד</w:t>
            </w:r>
            <w:r>
              <w:rPr>
                <w:rFonts w:ascii="Arial (W1)" w:hAnsi="Arial (W1)"/>
                <w:b/>
                <w:bCs/>
                <w:noProof w:val="0"/>
                <w:rtl/>
              </w:rPr>
              <w:t xml:space="preserve"> </w:t>
            </w:r>
            <w:proofErr w:type="spellStart"/>
            <w:r>
              <w:rPr>
                <w:rFonts w:ascii="Arial (W1)" w:hAnsi="Arial (W1)"/>
                <w:b/>
                <w:bCs/>
                <w:noProof w:val="0"/>
                <w:rtl/>
              </w:rPr>
              <w:t>גורניצקי</w:t>
            </w:r>
            <w:proofErr w:type="spellEnd"/>
            <w:r>
              <w:rPr>
                <w:rFonts w:ascii="Arial (W1)" w:hAnsi="Arial (W1)"/>
                <w:b/>
                <w:bCs/>
                <w:noProof w:val="0"/>
                <w:rtl/>
              </w:rPr>
              <w:t xml:space="preserve"> ושות'</w:t>
            </w:r>
          </w:p>
        </w:tc>
      </w:tr>
    </w:tbl>
    <w:p w:rsidR="00E0442F" w:rsidRDefault="00E0442F" w:rsidP="00E0442F">
      <w:pPr>
        <w:suppressLineNumbers/>
      </w:pPr>
    </w:p>
    <w:tbl>
      <w:tblPr>
        <w:tblStyle w:val="ab"/>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0442F" w:rsidTr="00E0442F">
        <w:trPr>
          <w:jc w:val="center"/>
        </w:trPr>
        <w:tc>
          <w:tcPr>
            <w:tcW w:w="8820" w:type="dxa"/>
            <w:hideMark/>
          </w:tcPr>
          <w:p w:rsidR="00E0442F" w:rsidRDefault="00E0442F">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E0442F" w:rsidRDefault="00E0442F" w:rsidP="00E0442F">
      <w:pPr>
        <w:spacing w:line="360" w:lineRule="auto"/>
        <w:jc w:val="both"/>
        <w:rPr>
          <w:rFonts w:ascii="Arial" w:hAnsi="Arial"/>
          <w:noProof w:val="0"/>
        </w:rPr>
      </w:pPr>
    </w:p>
    <w:p w:rsidR="00E0442F" w:rsidRDefault="00E0442F" w:rsidP="00E0442F">
      <w:pPr>
        <w:spacing w:line="360" w:lineRule="auto"/>
        <w:jc w:val="both"/>
        <w:rPr>
          <w:rFonts w:ascii="David" w:hAnsi="David"/>
          <w:rtl/>
        </w:rPr>
      </w:pPr>
      <w:bookmarkStart w:id="0" w:name="NGCSBookmark"/>
      <w:bookmarkEnd w:id="0"/>
      <w:r>
        <w:rPr>
          <w:rFonts w:ascii="David" w:hAnsi="David"/>
          <w:rtl/>
        </w:rPr>
        <w:t>לפניי בקשה לסילוק התביעה על הסף מחמת חוסר סמכות.</w:t>
      </w:r>
    </w:p>
    <w:p w:rsidR="00E0442F" w:rsidRDefault="00E0442F" w:rsidP="00E0442F">
      <w:pPr>
        <w:jc w:val="both"/>
        <w:rPr>
          <w:rFonts w:ascii="David" w:hAnsi="David"/>
          <w:rtl/>
        </w:rPr>
      </w:pPr>
    </w:p>
    <w:p w:rsidR="00E0442F" w:rsidRDefault="00E0442F" w:rsidP="00E0442F">
      <w:pPr>
        <w:spacing w:line="360" w:lineRule="auto"/>
        <w:jc w:val="both"/>
        <w:rPr>
          <w:rFonts w:ascii="David" w:hAnsi="David"/>
          <w:b/>
          <w:bCs/>
          <w:sz w:val="28"/>
          <w:szCs w:val="28"/>
          <w:u w:val="single"/>
          <w:rtl/>
        </w:rPr>
      </w:pPr>
      <w:r>
        <w:rPr>
          <w:rFonts w:ascii="David" w:hAnsi="David"/>
          <w:b/>
          <w:bCs/>
          <w:sz w:val="28"/>
          <w:szCs w:val="28"/>
          <w:u w:val="single"/>
          <w:rtl/>
        </w:rPr>
        <w:t>רקע ועובדות רלוונטיות :</w:t>
      </w:r>
    </w:p>
    <w:p w:rsidR="00E0442F" w:rsidRDefault="00E0442F" w:rsidP="00E0442F">
      <w:pPr>
        <w:jc w:val="both"/>
        <w:rPr>
          <w:rFonts w:ascii="David" w:hAnsi="David"/>
          <w:b/>
          <w:bCs/>
          <w:sz w:val="28"/>
          <w:szCs w:val="28"/>
          <w:u w:val="single"/>
          <w:rtl/>
        </w:rPr>
      </w:pPr>
    </w:p>
    <w:p w:rsidR="00E0442F" w:rsidRDefault="00E0442F" w:rsidP="00BC7582">
      <w:pPr>
        <w:pStyle w:val="aa"/>
        <w:numPr>
          <w:ilvl w:val="0"/>
          <w:numId w:val="1"/>
        </w:numPr>
        <w:spacing w:line="360" w:lineRule="auto"/>
        <w:jc w:val="both"/>
        <w:rPr>
          <w:rFonts w:ascii="David" w:hAnsi="David"/>
        </w:rPr>
      </w:pPr>
      <w:r>
        <w:rPr>
          <w:rFonts w:ascii="David" w:hAnsi="David"/>
          <w:rtl/>
        </w:rPr>
        <w:t xml:space="preserve">התובע (להלן: </w:t>
      </w:r>
      <w:r>
        <w:rPr>
          <w:rFonts w:ascii="David" w:hAnsi="David"/>
          <w:b/>
          <w:bCs/>
          <w:rtl/>
        </w:rPr>
        <w:t>"התובע"</w:t>
      </w:r>
      <w:r>
        <w:rPr>
          <w:rFonts w:ascii="David" w:hAnsi="David"/>
          <w:rtl/>
        </w:rPr>
        <w:t xml:space="preserve"> או </w:t>
      </w:r>
      <w:r>
        <w:rPr>
          <w:rFonts w:ascii="David" w:hAnsi="David"/>
          <w:b/>
          <w:bCs/>
          <w:rtl/>
        </w:rPr>
        <w:t>"המשיב"</w:t>
      </w:r>
      <w:r>
        <w:rPr>
          <w:rFonts w:ascii="David" w:hAnsi="David"/>
          <w:rtl/>
        </w:rPr>
        <w:t xml:space="preserve">) תושב </w:t>
      </w:r>
      <w:r w:rsidR="00BC7582">
        <w:rPr>
          <w:rFonts w:ascii="David" w:hAnsi="David" w:hint="cs"/>
          <w:rtl/>
        </w:rPr>
        <w:t xml:space="preserve">גרמניה </w:t>
      </w:r>
      <w:r>
        <w:rPr>
          <w:rFonts w:ascii="David" w:hAnsi="David"/>
          <w:rtl/>
        </w:rPr>
        <w:t xml:space="preserve">ומתגורר בגבולותיה, אחיו של הנתבע 1 (להלן: </w:t>
      </w:r>
      <w:r>
        <w:rPr>
          <w:rFonts w:ascii="David" w:hAnsi="David"/>
          <w:b/>
          <w:bCs/>
          <w:rtl/>
        </w:rPr>
        <w:t>"הנתבע 1"</w:t>
      </w:r>
      <w:r>
        <w:rPr>
          <w:rFonts w:ascii="David" w:hAnsi="David"/>
          <w:rtl/>
        </w:rPr>
        <w:t xml:space="preserve">) אזרח ישראלי בן כ- 87 המתגורר בישראל והבעלים של 80 אחוזים מהון מניות חברת </w:t>
      </w:r>
      <w:r w:rsidR="00BC7582">
        <w:rPr>
          <w:rFonts w:ascii="David" w:hAnsi="David" w:hint="cs"/>
          <w:rtl/>
        </w:rPr>
        <w:t xml:space="preserve">*** </w:t>
      </w:r>
      <w:r>
        <w:rPr>
          <w:rFonts w:ascii="David" w:hAnsi="David"/>
          <w:rtl/>
        </w:rPr>
        <w:t xml:space="preserve">היא הנתבעת מס' 4 (להלן: </w:t>
      </w:r>
      <w:r>
        <w:rPr>
          <w:rFonts w:ascii="David" w:hAnsi="David"/>
          <w:b/>
          <w:bCs/>
          <w:rtl/>
        </w:rPr>
        <w:t>"החברה"</w:t>
      </w:r>
      <w:r>
        <w:rPr>
          <w:rFonts w:ascii="David" w:hAnsi="David"/>
          <w:rtl/>
        </w:rPr>
        <w:t xml:space="preserve"> או </w:t>
      </w:r>
      <w:r>
        <w:rPr>
          <w:rFonts w:ascii="David" w:hAnsi="David"/>
          <w:b/>
          <w:bCs/>
          <w:rtl/>
        </w:rPr>
        <w:t>"הנתבעת 4"</w:t>
      </w:r>
      <w:r>
        <w:rPr>
          <w:rFonts w:ascii="David" w:hAnsi="David"/>
          <w:rtl/>
        </w:rPr>
        <w:t xml:space="preserve">). הנתבעים 2-3 הם שניים מבניו של התובע 1 אזרחי ישראל, בעלים של  10 אחוזים כל אחד מהון המניות של הנתבעת 4. (לשם הנוחות, כל הנתבעים יקראו גם </w:t>
      </w:r>
      <w:r>
        <w:rPr>
          <w:rFonts w:ascii="David" w:hAnsi="David"/>
          <w:b/>
          <w:bCs/>
          <w:rtl/>
        </w:rPr>
        <w:t>"המבקשים או הנתבעים")</w:t>
      </w:r>
      <w:r>
        <w:rPr>
          <w:rFonts w:ascii="David" w:hAnsi="David"/>
          <w:rtl/>
        </w:rPr>
        <w:t xml:space="preserve">. </w:t>
      </w:r>
    </w:p>
    <w:p w:rsidR="00E0442F" w:rsidRDefault="00E0442F" w:rsidP="00E0442F">
      <w:pPr>
        <w:pStyle w:val="aa"/>
        <w:ind w:left="360"/>
        <w:jc w:val="both"/>
        <w:rPr>
          <w:rFonts w:ascii="David" w:hAnsi="David"/>
          <w:rtl/>
        </w:rPr>
      </w:pPr>
    </w:p>
    <w:p w:rsidR="00E0442F" w:rsidRDefault="00E0442F" w:rsidP="00E0442F">
      <w:pPr>
        <w:pStyle w:val="aa"/>
        <w:numPr>
          <w:ilvl w:val="0"/>
          <w:numId w:val="1"/>
        </w:numPr>
        <w:spacing w:line="360" w:lineRule="auto"/>
        <w:jc w:val="both"/>
        <w:rPr>
          <w:rFonts w:ascii="David" w:hAnsi="David"/>
          <w:rtl/>
        </w:rPr>
      </w:pPr>
      <w:r>
        <w:rPr>
          <w:rFonts w:ascii="David" w:hAnsi="David"/>
          <w:rtl/>
        </w:rPr>
        <w:t>כעולה מטענות הצדדים, התנהלו ומתנהלים בעניינם הליכים משפטיים בגרמניה כדלקמן:</w:t>
      </w:r>
    </w:p>
    <w:p w:rsidR="00E0442F" w:rsidRDefault="00E0442F" w:rsidP="00BC7582">
      <w:pPr>
        <w:pStyle w:val="aa"/>
        <w:numPr>
          <w:ilvl w:val="0"/>
          <w:numId w:val="2"/>
        </w:numPr>
        <w:spacing w:line="360" w:lineRule="auto"/>
        <w:jc w:val="both"/>
        <w:rPr>
          <w:rFonts w:ascii="David" w:hAnsi="David"/>
          <w:rtl/>
        </w:rPr>
      </w:pPr>
      <w:r>
        <w:rPr>
          <w:rFonts w:ascii="David" w:hAnsi="David"/>
          <w:rtl/>
        </w:rPr>
        <w:t xml:space="preserve">הנתבעת 4 נגד התובע  בבית המשפט המחוזי </w:t>
      </w:r>
      <w:proofErr w:type="spellStart"/>
      <w:r>
        <w:rPr>
          <w:rFonts w:ascii="David" w:hAnsi="David"/>
          <w:rtl/>
        </w:rPr>
        <w:t>בשטוטגרט</w:t>
      </w:r>
      <w:proofErr w:type="spellEnd"/>
      <w:r>
        <w:rPr>
          <w:rFonts w:ascii="David" w:hAnsi="David"/>
          <w:rtl/>
        </w:rPr>
        <w:t xml:space="preserve"> בעניין הפרת חובת אמונים כבעל תפקיד ומעילה בכספים</w:t>
      </w:r>
      <w:r>
        <w:rPr>
          <w:rFonts w:ascii="David" w:hAnsi="David"/>
          <w:b/>
          <w:bCs/>
          <w:rtl/>
        </w:rPr>
        <w:t xml:space="preserve"> (</w:t>
      </w:r>
      <w:r w:rsidR="00BC7582">
        <w:rPr>
          <w:rFonts w:ascii="David" w:hAnsi="David" w:hint="cs"/>
          <w:rtl/>
        </w:rPr>
        <w:t>***</w:t>
      </w:r>
      <w:r>
        <w:rPr>
          <w:rFonts w:ascii="David" w:hAnsi="David"/>
          <w:rtl/>
        </w:rPr>
        <w:t>)</w:t>
      </w:r>
      <w:r>
        <w:rPr>
          <w:rFonts w:ascii="David" w:hAnsi="David"/>
          <w:b/>
          <w:bCs/>
          <w:rtl/>
        </w:rPr>
        <w:t>;</w:t>
      </w:r>
      <w:r>
        <w:rPr>
          <w:rFonts w:ascii="David" w:hAnsi="David"/>
          <w:rtl/>
        </w:rPr>
        <w:t xml:space="preserve"> </w:t>
      </w:r>
    </w:p>
    <w:p w:rsidR="00E0442F" w:rsidRDefault="00E0442F" w:rsidP="00BC7582">
      <w:pPr>
        <w:pStyle w:val="aa"/>
        <w:numPr>
          <w:ilvl w:val="0"/>
          <w:numId w:val="2"/>
        </w:numPr>
        <w:spacing w:line="360" w:lineRule="auto"/>
        <w:jc w:val="both"/>
        <w:rPr>
          <w:rFonts w:ascii="David" w:hAnsi="David"/>
        </w:rPr>
      </w:pPr>
      <w:r>
        <w:rPr>
          <w:rFonts w:ascii="David" w:hAnsi="David"/>
          <w:rtl/>
        </w:rPr>
        <w:t xml:space="preserve">הנתבעת 4 נגד התובע בבית המשפט המחוזי </w:t>
      </w:r>
      <w:proofErr w:type="spellStart"/>
      <w:r>
        <w:rPr>
          <w:rFonts w:ascii="David" w:hAnsi="David"/>
          <w:rtl/>
        </w:rPr>
        <w:t>בשטוטגרט</w:t>
      </w:r>
      <w:proofErr w:type="spellEnd"/>
      <w:r>
        <w:rPr>
          <w:rFonts w:ascii="David" w:hAnsi="David"/>
          <w:rtl/>
        </w:rPr>
        <w:t xml:space="preserve"> בעניין גביית חוב של התובע כלפי החברה (</w:t>
      </w:r>
      <w:r w:rsidR="00BC7582">
        <w:rPr>
          <w:rFonts w:ascii="David" w:hAnsi="David" w:hint="cs"/>
          <w:rtl/>
        </w:rPr>
        <w:t>***</w:t>
      </w:r>
      <w:r>
        <w:rPr>
          <w:rFonts w:ascii="David" w:hAnsi="David" w:hint="cs"/>
          <w:rtl/>
        </w:rPr>
        <w:t>)</w:t>
      </w:r>
      <w:r>
        <w:rPr>
          <w:rFonts w:ascii="David" w:hAnsi="David" w:hint="cs"/>
          <w:b/>
          <w:bCs/>
          <w:rtl/>
        </w:rPr>
        <w:t>;</w:t>
      </w:r>
      <w:r>
        <w:rPr>
          <w:rFonts w:ascii="David" w:hAnsi="David" w:hint="cs"/>
          <w:rtl/>
        </w:rPr>
        <w:t xml:space="preserve"> </w:t>
      </w:r>
    </w:p>
    <w:p w:rsidR="00E0442F" w:rsidRDefault="00E0442F" w:rsidP="00E0442F">
      <w:pPr>
        <w:pStyle w:val="aa"/>
        <w:numPr>
          <w:ilvl w:val="0"/>
          <w:numId w:val="2"/>
        </w:numPr>
        <w:spacing w:line="360" w:lineRule="auto"/>
        <w:jc w:val="both"/>
        <w:rPr>
          <w:rFonts w:ascii="David" w:hAnsi="David"/>
        </w:rPr>
      </w:pPr>
      <w:r>
        <w:rPr>
          <w:rFonts w:ascii="David" w:hAnsi="David"/>
          <w:rtl/>
        </w:rPr>
        <w:t>הליך פלילי כנגד התובע בגין תלונת הנתבעת 4 על מעילה בכספי החברה שלא כדין</w:t>
      </w:r>
      <w:r>
        <w:rPr>
          <w:rFonts w:ascii="David" w:hAnsi="David"/>
          <w:b/>
          <w:bCs/>
          <w:rtl/>
        </w:rPr>
        <w:t>;</w:t>
      </w:r>
      <w:r>
        <w:rPr>
          <w:rFonts w:ascii="David" w:hAnsi="David"/>
          <w:rtl/>
        </w:rPr>
        <w:t xml:space="preserve"> </w:t>
      </w:r>
    </w:p>
    <w:p w:rsidR="00E0442F" w:rsidRDefault="00E0442F" w:rsidP="00BC7582">
      <w:pPr>
        <w:pStyle w:val="aa"/>
        <w:numPr>
          <w:ilvl w:val="0"/>
          <w:numId w:val="2"/>
        </w:numPr>
        <w:spacing w:line="360" w:lineRule="auto"/>
        <w:jc w:val="both"/>
        <w:rPr>
          <w:rFonts w:ascii="David" w:hAnsi="David"/>
        </w:rPr>
      </w:pPr>
      <w:r>
        <w:rPr>
          <w:rFonts w:ascii="David" w:hAnsi="David"/>
          <w:rtl/>
        </w:rPr>
        <w:t xml:space="preserve">התובע נגד הנתבעת בבית המשפט לענייני עבודה </w:t>
      </w:r>
      <w:proofErr w:type="spellStart"/>
      <w:r>
        <w:rPr>
          <w:rFonts w:ascii="David" w:hAnsi="David"/>
          <w:rtl/>
        </w:rPr>
        <w:t>בשטוטגרט</w:t>
      </w:r>
      <w:proofErr w:type="spellEnd"/>
      <w:r>
        <w:rPr>
          <w:rFonts w:ascii="David" w:hAnsi="David"/>
          <w:rtl/>
        </w:rPr>
        <w:t xml:space="preserve"> בעניין ביטול פיטוריו מהחברה  (</w:t>
      </w:r>
      <w:r w:rsidR="00BC7582">
        <w:rPr>
          <w:rFonts w:ascii="David" w:hAnsi="David" w:hint="cs"/>
          <w:rtl/>
        </w:rPr>
        <w:t>***</w:t>
      </w:r>
      <w:r>
        <w:rPr>
          <w:rFonts w:ascii="David" w:hAnsi="David" w:hint="cs"/>
          <w:rtl/>
        </w:rPr>
        <w:t>) (התביעה נמחקה לבקשתו)</w:t>
      </w:r>
      <w:r>
        <w:rPr>
          <w:rFonts w:ascii="David" w:hAnsi="David" w:hint="cs"/>
          <w:b/>
          <w:bCs/>
          <w:rtl/>
        </w:rPr>
        <w:t>;</w:t>
      </w:r>
      <w:r>
        <w:rPr>
          <w:rFonts w:ascii="David" w:hAnsi="David" w:hint="cs"/>
          <w:rtl/>
        </w:rPr>
        <w:t xml:space="preserve"> </w:t>
      </w:r>
    </w:p>
    <w:p w:rsidR="00E0442F" w:rsidRDefault="00E0442F" w:rsidP="00BC7582">
      <w:pPr>
        <w:pStyle w:val="aa"/>
        <w:numPr>
          <w:ilvl w:val="0"/>
          <w:numId w:val="2"/>
        </w:numPr>
        <w:spacing w:line="360" w:lineRule="auto"/>
        <w:jc w:val="both"/>
        <w:rPr>
          <w:rFonts w:ascii="David" w:hAnsi="David"/>
        </w:rPr>
      </w:pPr>
      <w:r>
        <w:rPr>
          <w:rFonts w:ascii="David" w:hAnsi="David"/>
          <w:rtl/>
        </w:rPr>
        <w:t xml:space="preserve">הליך חדלות פירעון של חברה בבעלות התובע </w:t>
      </w:r>
      <w:r w:rsidR="00BC7582">
        <w:rPr>
          <w:rFonts w:ascii="David" w:hAnsi="David" w:hint="cs"/>
          <w:rtl/>
        </w:rPr>
        <w:t xml:space="preserve">*** </w:t>
      </w:r>
      <w:r>
        <w:rPr>
          <w:rFonts w:ascii="David" w:hAnsi="David" w:hint="cs"/>
          <w:rtl/>
        </w:rPr>
        <w:t xml:space="preserve">בביהמ"ש </w:t>
      </w:r>
      <w:proofErr w:type="spellStart"/>
      <w:r>
        <w:rPr>
          <w:rFonts w:ascii="David" w:hAnsi="David" w:hint="cs"/>
          <w:rtl/>
        </w:rPr>
        <w:t>בלודוויגסבורג</w:t>
      </w:r>
      <w:proofErr w:type="spellEnd"/>
      <w:r>
        <w:rPr>
          <w:rFonts w:ascii="David" w:hAnsi="David" w:hint="cs"/>
          <w:rtl/>
        </w:rPr>
        <w:t xml:space="preserve">. ההליך נפתח לבקשת הנתבעת 4  בבקשה לפירוק חברת </w:t>
      </w:r>
      <w:r w:rsidR="00BC7582">
        <w:rPr>
          <w:rFonts w:ascii="David" w:hAnsi="David" w:hint="cs"/>
          <w:rtl/>
        </w:rPr>
        <w:t xml:space="preserve">*** </w:t>
      </w:r>
      <w:r>
        <w:rPr>
          <w:rFonts w:ascii="David" w:hAnsi="David"/>
          <w:rtl/>
        </w:rPr>
        <w:t>לאחר שנקבע שאינה יכולה לפרוע חובה כלפיה (</w:t>
      </w:r>
      <w:r w:rsidR="00BC7582">
        <w:rPr>
          <w:rFonts w:ascii="David" w:hAnsi="David" w:hint="cs"/>
          <w:rtl/>
        </w:rPr>
        <w:t>***</w:t>
      </w:r>
      <w:r>
        <w:rPr>
          <w:rFonts w:ascii="David" w:hAnsi="David"/>
          <w:rtl/>
        </w:rPr>
        <w:t xml:space="preserve">); </w:t>
      </w:r>
    </w:p>
    <w:p w:rsidR="00E0442F" w:rsidRDefault="00E0442F" w:rsidP="00BC7582">
      <w:pPr>
        <w:pStyle w:val="aa"/>
        <w:numPr>
          <w:ilvl w:val="0"/>
          <w:numId w:val="2"/>
        </w:numPr>
        <w:spacing w:line="360" w:lineRule="auto"/>
        <w:jc w:val="both"/>
        <w:rPr>
          <w:rFonts w:ascii="David" w:hAnsi="David"/>
        </w:rPr>
      </w:pPr>
      <w:r>
        <w:rPr>
          <w:rFonts w:ascii="David" w:hAnsi="David"/>
          <w:rtl/>
        </w:rPr>
        <w:t xml:space="preserve">חברת </w:t>
      </w:r>
      <w:r w:rsidR="00BC7582">
        <w:rPr>
          <w:rFonts w:ascii="David" w:hAnsi="David" w:hint="cs"/>
          <w:rtl/>
        </w:rPr>
        <w:t xml:space="preserve">*** </w:t>
      </w:r>
      <w:r>
        <w:rPr>
          <w:rFonts w:ascii="David" w:hAnsi="David" w:hint="cs"/>
          <w:rtl/>
        </w:rPr>
        <w:t xml:space="preserve">(בעלות התובע) נגד הנתבעת 4 בבית המשפט המחוזי </w:t>
      </w:r>
      <w:proofErr w:type="spellStart"/>
      <w:r>
        <w:rPr>
          <w:rFonts w:ascii="David" w:hAnsi="David" w:hint="cs"/>
          <w:rtl/>
        </w:rPr>
        <w:t>בשטוטגרט</w:t>
      </w:r>
      <w:proofErr w:type="spellEnd"/>
      <w:r>
        <w:rPr>
          <w:rFonts w:ascii="David" w:hAnsi="David" w:hint="cs"/>
          <w:rtl/>
        </w:rPr>
        <w:t xml:space="preserve"> בעניין גביית דמי שכירות (</w:t>
      </w:r>
      <w:r w:rsidR="00BC7582">
        <w:rPr>
          <w:rFonts w:ascii="David" w:hAnsi="David" w:hint="cs"/>
          <w:rtl/>
        </w:rPr>
        <w:t>***</w:t>
      </w:r>
      <w:r w:rsidR="00BC7582">
        <w:rPr>
          <w:rFonts w:ascii="David" w:hAnsi="David"/>
          <w:rtl/>
        </w:rPr>
        <w:t>).  התביעה נדח</w:t>
      </w:r>
      <w:r w:rsidR="00BC7582">
        <w:rPr>
          <w:rFonts w:ascii="David" w:hAnsi="David" w:hint="cs"/>
          <w:rtl/>
        </w:rPr>
        <w:t>תה</w:t>
      </w:r>
      <w:r>
        <w:rPr>
          <w:rFonts w:ascii="David" w:hAnsi="David"/>
          <w:rtl/>
        </w:rPr>
        <w:t xml:space="preserve"> והוגש ערעור המצוי בעיצומו (</w:t>
      </w:r>
      <w:r w:rsidR="00BC7582">
        <w:rPr>
          <w:rFonts w:ascii="David" w:hAnsi="David" w:hint="cs"/>
          <w:rtl/>
        </w:rPr>
        <w:t>***</w:t>
      </w:r>
      <w:r>
        <w:rPr>
          <w:rFonts w:ascii="David" w:hAnsi="David"/>
          <w:rtl/>
        </w:rPr>
        <w:t xml:space="preserve">). </w:t>
      </w:r>
    </w:p>
    <w:p w:rsidR="00E0442F" w:rsidRDefault="00E0442F" w:rsidP="00E0442F">
      <w:pPr>
        <w:pStyle w:val="aa"/>
        <w:rPr>
          <w:rFonts w:ascii="David" w:hAnsi="David"/>
        </w:rPr>
      </w:pPr>
    </w:p>
    <w:p w:rsidR="00E0442F" w:rsidRDefault="00E0442F" w:rsidP="00BC7582">
      <w:pPr>
        <w:pStyle w:val="aa"/>
        <w:numPr>
          <w:ilvl w:val="0"/>
          <w:numId w:val="1"/>
        </w:numPr>
        <w:spacing w:line="360" w:lineRule="auto"/>
        <w:jc w:val="both"/>
        <w:rPr>
          <w:rFonts w:ascii="David" w:hAnsi="David"/>
        </w:rPr>
      </w:pPr>
      <w:r>
        <w:rPr>
          <w:rFonts w:ascii="David" w:hAnsi="David"/>
          <w:rtl/>
        </w:rPr>
        <w:t xml:space="preserve">בעניינו, התובע עותר </w:t>
      </w:r>
      <w:proofErr w:type="spellStart"/>
      <w:r>
        <w:rPr>
          <w:rFonts w:ascii="David" w:hAnsi="David"/>
          <w:rtl/>
        </w:rPr>
        <w:t>ליתן</w:t>
      </w:r>
      <w:proofErr w:type="spellEnd"/>
      <w:r>
        <w:rPr>
          <w:rFonts w:ascii="David" w:hAnsi="David"/>
          <w:rtl/>
        </w:rPr>
        <w:t xml:space="preserve"> תוקף להסכם נאמנות משנת 2003 שנערך לטענתו בעל פה לפני נוטריון גרמני מר </w:t>
      </w:r>
      <w:r w:rsidR="00BC7582">
        <w:rPr>
          <w:rFonts w:ascii="David" w:hAnsi="David" w:hint="cs"/>
          <w:rtl/>
        </w:rPr>
        <w:t>***</w:t>
      </w:r>
      <w:r>
        <w:rPr>
          <w:rFonts w:ascii="David" w:hAnsi="David"/>
          <w:rtl/>
        </w:rPr>
        <w:t xml:space="preserve">. לדידו, ההסכם עניינו בעלותו בכלל מניות החברה אשר רשומה ופועלת בגרמניה, וזאת בשל הליכי חדלות פירעון שננקטו בגרמניה כנגד חברה בבעלות התובע באותה </w:t>
      </w:r>
      <w:r>
        <w:rPr>
          <w:rFonts w:ascii="David" w:hAnsi="David"/>
          <w:rtl/>
        </w:rPr>
        <w:lastRenderedPageBreak/>
        <w:t>תקופה. לגרסתו, במסגרת ההתקשרות, הנתבעת 4 שימשה סניף לחברת "</w:t>
      </w:r>
      <w:r w:rsidR="00BC7582">
        <w:rPr>
          <w:rFonts w:ascii="David" w:hAnsi="David" w:hint="cs"/>
          <w:rtl/>
        </w:rPr>
        <w:t xml:space="preserve">*** </w:t>
      </w:r>
      <w:r>
        <w:rPr>
          <w:rFonts w:ascii="David" w:hAnsi="David"/>
          <w:rtl/>
        </w:rPr>
        <w:t xml:space="preserve">בע"מ" (להלן: </w:t>
      </w:r>
      <w:r>
        <w:rPr>
          <w:rFonts w:ascii="David" w:hAnsi="David"/>
          <w:b/>
          <w:bCs/>
          <w:rtl/>
        </w:rPr>
        <w:t xml:space="preserve">"חברת </w:t>
      </w:r>
      <w:r w:rsidR="00BC7582">
        <w:rPr>
          <w:rFonts w:ascii="David" w:hAnsi="David" w:hint="cs"/>
          <w:b/>
          <w:bCs/>
          <w:rtl/>
        </w:rPr>
        <w:t>***</w:t>
      </w:r>
      <w:r>
        <w:rPr>
          <w:rFonts w:ascii="David" w:hAnsi="David"/>
          <w:b/>
          <w:bCs/>
          <w:rtl/>
        </w:rPr>
        <w:t xml:space="preserve">") </w:t>
      </w:r>
      <w:r>
        <w:rPr>
          <w:rFonts w:ascii="David" w:hAnsi="David"/>
          <w:rtl/>
        </w:rPr>
        <w:t xml:space="preserve">שבבעלותו הבלעדית של הנתבע 1 המתמחה בייצור של כלי חיתוך לחריטה וכרסום הברגות, ומקום מושבה באזור תעשייה </w:t>
      </w:r>
      <w:r w:rsidR="00BC7582">
        <w:rPr>
          <w:rFonts w:ascii="David" w:hAnsi="David" w:hint="cs"/>
          <w:rtl/>
        </w:rPr>
        <w:t xml:space="preserve">*** </w:t>
      </w:r>
      <w:r>
        <w:rPr>
          <w:rFonts w:ascii="David" w:hAnsi="David"/>
          <w:rtl/>
        </w:rPr>
        <w:t xml:space="preserve">בישראל. </w:t>
      </w:r>
    </w:p>
    <w:p w:rsidR="00E0442F" w:rsidRPr="00BC7582" w:rsidRDefault="00E0442F" w:rsidP="00E0442F">
      <w:pPr>
        <w:jc w:val="both"/>
        <w:rPr>
          <w:rFonts w:ascii="David" w:hAnsi="David"/>
          <w:b/>
          <w:bCs/>
          <w:u w:val="single"/>
        </w:rPr>
      </w:pPr>
    </w:p>
    <w:p w:rsidR="00E0442F" w:rsidRDefault="00E0442F" w:rsidP="00E0442F">
      <w:pPr>
        <w:spacing w:line="360" w:lineRule="auto"/>
        <w:jc w:val="both"/>
        <w:rPr>
          <w:rFonts w:ascii="David" w:hAnsi="David"/>
          <w:b/>
          <w:bCs/>
          <w:sz w:val="28"/>
          <w:szCs w:val="28"/>
          <w:u w:val="single"/>
          <w:rtl/>
        </w:rPr>
      </w:pPr>
      <w:r>
        <w:rPr>
          <w:rFonts w:ascii="David" w:hAnsi="David"/>
          <w:b/>
          <w:bCs/>
          <w:sz w:val="28"/>
          <w:szCs w:val="28"/>
          <w:u w:val="single"/>
          <w:rtl/>
        </w:rPr>
        <w:t>עיקר טענות הצדדים:</w:t>
      </w:r>
    </w:p>
    <w:p w:rsidR="00E0442F" w:rsidRDefault="00E0442F" w:rsidP="00E0442F">
      <w:pPr>
        <w:jc w:val="both"/>
        <w:rPr>
          <w:rFonts w:ascii="David" w:hAnsi="David"/>
          <w:b/>
          <w:bCs/>
          <w:u w:val="single"/>
        </w:rPr>
      </w:pPr>
    </w:p>
    <w:p w:rsidR="00E0442F" w:rsidRDefault="00E0442F" w:rsidP="00E0442F">
      <w:pPr>
        <w:pStyle w:val="aa"/>
        <w:numPr>
          <w:ilvl w:val="0"/>
          <w:numId w:val="1"/>
        </w:numPr>
        <w:spacing w:line="360" w:lineRule="auto"/>
        <w:jc w:val="both"/>
        <w:rPr>
          <w:rFonts w:ascii="David" w:hAnsi="David"/>
          <w:rtl/>
        </w:rPr>
      </w:pPr>
      <w:r>
        <w:rPr>
          <w:rFonts w:ascii="David" w:hAnsi="David"/>
          <w:b/>
          <w:bCs/>
          <w:u w:val="single"/>
          <w:rtl/>
        </w:rPr>
        <w:t>לטענות המבקשים</w:t>
      </w:r>
      <w:r>
        <w:rPr>
          <w:rFonts w:ascii="David" w:hAnsi="David"/>
          <w:rtl/>
        </w:rPr>
        <w:t xml:space="preserve"> יש לסלק התביעה על הסף מחמת היעדר סמכות עניינית לבית המשפט בישראל, וזו נתונה לבית המשפט בגרמניה. לדידם, לא בכדי התובע לא הסביר מדוע יש לבחון את הסכם הנאמנות הנטען על פי הדין הישראלי, שהרי, מלבד היותם של הנתבעים 1-3 אזרחי ישראל, אין כל זיקה ויתרון לניהול ההליך בישראל. לטעמם, כלל מבחני העזר שקבעו בפסיקה לבחינת דוקטרינת פורום בלתי נאות מצביעים באופן חד משמעי על כך שהתובענה צריכה להתברר בגרמניה, כפי שיתר ההליכים התנהלו ועודם מתנהלים. בהתאם למבחני העזר שנקבעו יש לבחון מהו הפורום בעל "מרב הזיקות" לסכסוך; מבחן הציפיות והסבירות של הצדדים ביחס למקום ההתדיינות בסכסוך; שיקולים ציבוריים. בנוסף, על בית המשפט כאן להתחשב בטיבו של הסכסוך, בדין החל לגביו וביעילות ניהול ההליך בישראל .</w:t>
      </w:r>
    </w:p>
    <w:p w:rsidR="00E0442F" w:rsidRDefault="00E0442F" w:rsidP="00E0442F">
      <w:pPr>
        <w:pStyle w:val="aa"/>
        <w:ind w:left="360"/>
        <w:jc w:val="both"/>
        <w:rPr>
          <w:rFonts w:ascii="David" w:hAnsi="David"/>
          <w:rtl/>
        </w:rPr>
      </w:pPr>
    </w:p>
    <w:p w:rsidR="00E0442F" w:rsidRDefault="00E0442F" w:rsidP="00BC7582">
      <w:pPr>
        <w:pStyle w:val="aa"/>
        <w:numPr>
          <w:ilvl w:val="0"/>
          <w:numId w:val="1"/>
        </w:numPr>
        <w:spacing w:line="360" w:lineRule="auto"/>
        <w:jc w:val="both"/>
        <w:rPr>
          <w:rFonts w:ascii="David" w:hAnsi="David"/>
          <w:rtl/>
        </w:rPr>
      </w:pPr>
      <w:r>
        <w:rPr>
          <w:rFonts w:ascii="David" w:hAnsi="David"/>
          <w:rtl/>
        </w:rPr>
        <w:t>לעניין מבחן מרב הזיקות גורסים שהכלל הבסיסי בשאלת נאמנות הינו שהחלת הדין תהא לפי בחירת יוצר הנאמנות, ובהעדרה, יחול הדין בעל הזיקה האמיצה ביותר לנאמנות בנסיבות העניין. אולם, התובע לא העלה כל טענה שהצדדים בחרו במפורש את תחולת הדין הישראלי על הנאמנות במסגרת ההסכם בעל- פה  לו טוען, ולכן, דין בעל הזיקה האמיצה הוא הדין הגרמני. מכאן, לדידם, המסקנה הברורה שלפי הגישה הטריטוריאלית (מקום יצירת הנאמנות וביצועה) הזיקה האמיצה ביותר לנאמנות הנטענת היא לדיני הנאמנות הגרמניים לפיהם יש לברר את תחולתה וביצועה של הנאמנות הנטענת על ידי התובע. המבקשים פורסים את העובדות המקימות את מרב הזיקות לניהול התביעה בגרמניה ובכלל זה, התובע תושב גרמניה; החברה הוקמה ונרשמה בגרמניה, רישום מניותיה בגרמניה ומטרתה לפעול בעיקר בגרמניה, החברה מעסיקה עובדים בגרמניה, נכסיה בגרמניה,</w:t>
      </w:r>
      <w:r w:rsidR="00BC7582">
        <w:rPr>
          <w:rFonts w:ascii="David" w:hAnsi="David" w:hint="cs"/>
          <w:rtl/>
        </w:rPr>
        <w:t xml:space="preserve"> </w:t>
      </w:r>
      <w:r>
        <w:rPr>
          <w:rFonts w:ascii="David" w:hAnsi="David"/>
          <w:rtl/>
        </w:rPr>
        <w:t>כל</w:t>
      </w:r>
      <w:r w:rsidR="00BC7582">
        <w:rPr>
          <w:rFonts w:ascii="David" w:hAnsi="David" w:hint="cs"/>
          <w:rtl/>
        </w:rPr>
        <w:t xml:space="preserve"> </w:t>
      </w:r>
      <w:r>
        <w:rPr>
          <w:rFonts w:ascii="David" w:hAnsi="David"/>
          <w:rtl/>
        </w:rPr>
        <w:t>פעילותה, עיסוקה, דיווחיה לרשויות המוסמכות, הסכמים הקשורים בה נמצאים כולם בגרמניה, וכך גם לשיטת התובע עצמו;  העברת הבעלות לשמו מבקש תעשה ברשם החברות הגרמני;  התובע טען שהסכם הנאמנות נכרת בעל פה בגרמניה בשנת 2003, אצל נוטריון מקומי בגרמניה;  כל העדים (למעט אחד) שהתובע ביקש להעיד בכתב תביעתו מושבם בגרמניה ומכאן שצפויות עלויות והוצאות רבות מיותרות הכרוכות בחיוב העדים להתייצב למתן עדות בישראל;  הגישה למקור הראיות בגרמניה.</w:t>
      </w:r>
    </w:p>
    <w:p w:rsidR="00E0442F" w:rsidRDefault="00E0442F" w:rsidP="00E0442F">
      <w:pPr>
        <w:pStyle w:val="aa"/>
        <w:ind w:left="360"/>
        <w:jc w:val="both"/>
        <w:rPr>
          <w:rFonts w:ascii="David" w:hAnsi="David"/>
        </w:rPr>
      </w:pPr>
    </w:p>
    <w:p w:rsidR="00E0442F" w:rsidRDefault="00E0442F" w:rsidP="00E0442F">
      <w:pPr>
        <w:pStyle w:val="aa"/>
        <w:numPr>
          <w:ilvl w:val="0"/>
          <w:numId w:val="1"/>
        </w:numPr>
        <w:spacing w:line="360" w:lineRule="auto"/>
        <w:jc w:val="both"/>
        <w:rPr>
          <w:rFonts w:ascii="David" w:hAnsi="David"/>
        </w:rPr>
      </w:pPr>
      <w:r>
        <w:rPr>
          <w:rFonts w:ascii="David" w:hAnsi="David"/>
          <w:rtl/>
        </w:rPr>
        <w:t xml:space="preserve">לעניין מבחן הציפיות גורסים שלצדדים לא הייתה ציפייה לניהול ההליך בישראל, ובהתאם, ניהלו הליכים קודמים בגרמניה על פי  הדין הגרמני. בתביעתו, בחוסר תום לב מובהק, התובע לא טרח להזכיר את עצם קיומם של ההליכים הקודמים שהתנהלו ומתנהלים בגרמניה, אשר חלקם אף ננקטו ביוזמתו ונדחו, ומסגרתם הועלו טענות חופפות. עוד סבורים שלפי מבחן </w:t>
      </w:r>
      <w:r>
        <w:rPr>
          <w:rFonts w:ascii="David" w:hAnsi="David"/>
          <w:rtl/>
        </w:rPr>
        <w:lastRenderedPageBreak/>
        <w:t xml:space="preserve">השיקולים הציבוריים, יש לפנות לערכאות בגרמניה, שכן לשיטת המשפט הישראלית אין עניין </w:t>
      </w:r>
      <w:proofErr w:type="spellStart"/>
      <w:r>
        <w:rPr>
          <w:rFonts w:ascii="David" w:hAnsi="David"/>
          <w:rtl/>
        </w:rPr>
        <w:t>אמיתי</w:t>
      </w:r>
      <w:proofErr w:type="spellEnd"/>
      <w:r>
        <w:rPr>
          <w:rFonts w:ascii="David" w:hAnsi="David"/>
          <w:rtl/>
        </w:rPr>
        <w:t xml:space="preserve"> בתובענה.</w:t>
      </w:r>
    </w:p>
    <w:p w:rsidR="00E0442F" w:rsidRDefault="00E0442F" w:rsidP="00E0442F">
      <w:pPr>
        <w:pStyle w:val="aa"/>
        <w:rPr>
          <w:rFonts w:ascii="David" w:hAnsi="David"/>
        </w:rPr>
      </w:pPr>
    </w:p>
    <w:p w:rsidR="00E0442F" w:rsidRDefault="00E0442F" w:rsidP="00E0442F">
      <w:pPr>
        <w:pStyle w:val="aa"/>
        <w:numPr>
          <w:ilvl w:val="0"/>
          <w:numId w:val="1"/>
        </w:numPr>
        <w:spacing w:line="360" w:lineRule="auto"/>
        <w:jc w:val="both"/>
        <w:rPr>
          <w:rFonts w:ascii="David" w:hAnsi="David"/>
          <w:rtl/>
        </w:rPr>
      </w:pPr>
      <w:r>
        <w:rPr>
          <w:rFonts w:ascii="David" w:hAnsi="David"/>
          <w:rtl/>
        </w:rPr>
        <w:t xml:space="preserve">לחלופין, ככל ולא תתקבל עתירתם לסילוק התביעה על הסף, מבקשים להעביר את התובענה  לבירור לפני בית המשפט המחוזי, שכן ביהמ"ש לענייני משפחה נעדר סמכות עניינית לדון בה, שעה שאין מדובר בסכסוך משפחתי אלא בסכסוך עסקי גרידא. בהתאמה לכך, לא מתקיימים המבחנים שנקבעו בפסיקה לצורך הקניית הסמכות לבימ"ש זה, והתובע אף לא ניסה להרים נטל כבד זה, ולא  הבהיר סמכותו של בית המשפט כאן. כך, אף מטענותיו עולה שהמחלוקת נסובה סביב הסכם נאמנות שנכרת בשנת 2003 בגרמניה, ומשכך, אין כל רלוונטיות לקשר המשפחתי בכל הנוגע למחלוקות. יתר על כן, התובע לא הראה שקיים סכסוך משפחתי כלשהו שקדם למחלוקות או שסכסוך משפחתי תרם תרומה כלשהי לגיבוש עילת תביעתו. </w:t>
      </w:r>
    </w:p>
    <w:p w:rsidR="00E0442F" w:rsidRDefault="00E0442F" w:rsidP="00E0442F">
      <w:pPr>
        <w:pStyle w:val="aa"/>
        <w:rPr>
          <w:rFonts w:ascii="David" w:hAnsi="David"/>
          <w:b/>
          <w:bCs/>
        </w:rPr>
      </w:pPr>
    </w:p>
    <w:p w:rsidR="00E0442F" w:rsidRDefault="00E0442F" w:rsidP="00E0442F">
      <w:pPr>
        <w:pStyle w:val="aa"/>
        <w:numPr>
          <w:ilvl w:val="0"/>
          <w:numId w:val="1"/>
        </w:numPr>
        <w:spacing w:line="360" w:lineRule="auto"/>
        <w:jc w:val="both"/>
        <w:rPr>
          <w:rFonts w:ascii="David" w:hAnsi="David"/>
          <w:rtl/>
        </w:rPr>
      </w:pPr>
      <w:r>
        <w:rPr>
          <w:rFonts w:ascii="David" w:hAnsi="David"/>
          <w:b/>
          <w:bCs/>
          <w:u w:val="single"/>
          <w:rtl/>
        </w:rPr>
        <w:t>לטענות המשיב</w:t>
      </w:r>
      <w:r>
        <w:rPr>
          <w:rFonts w:ascii="David" w:hAnsi="David"/>
          <w:rtl/>
        </w:rPr>
        <w:t xml:space="preserve"> יש לדחות את הבקשה שכן על המבקשים לשאת בנטל השכנוע שמאזן הנוחות נוטה לטובת הפורום הזר בגרמניה, ונטל זה לא לפתחו. מבלי לפגוע באמור, הפורום הנאות בישראל שכן עסקינן </w:t>
      </w:r>
      <w:r>
        <w:rPr>
          <w:rFonts w:ascii="David" w:hAnsi="David"/>
          <w:u w:val="single"/>
          <w:rtl/>
        </w:rPr>
        <w:t>במתן סעד הצהרתי ותו לא</w:t>
      </w:r>
      <w:r>
        <w:rPr>
          <w:rFonts w:ascii="David" w:hAnsi="David"/>
          <w:rtl/>
        </w:rPr>
        <w:t xml:space="preserve">, והצדדים "בני משפחה" כקבוע בהוראות סעיף 1 לחוק בתי משפט לענייני משפחה. </w:t>
      </w:r>
    </w:p>
    <w:p w:rsidR="00E0442F" w:rsidRDefault="00E0442F" w:rsidP="00E0442F">
      <w:pPr>
        <w:pStyle w:val="aa"/>
        <w:rPr>
          <w:rFonts w:ascii="David" w:hAnsi="David"/>
        </w:rPr>
      </w:pPr>
    </w:p>
    <w:p w:rsidR="00E0442F" w:rsidRDefault="00E0442F" w:rsidP="00E0442F">
      <w:pPr>
        <w:pStyle w:val="aa"/>
        <w:numPr>
          <w:ilvl w:val="0"/>
          <w:numId w:val="1"/>
        </w:numPr>
        <w:spacing w:line="360" w:lineRule="auto"/>
        <w:jc w:val="both"/>
        <w:rPr>
          <w:rFonts w:ascii="David" w:hAnsi="David"/>
          <w:rtl/>
        </w:rPr>
      </w:pPr>
      <w:r>
        <w:rPr>
          <w:rFonts w:ascii="David" w:hAnsi="David"/>
          <w:rtl/>
        </w:rPr>
        <w:t>עוד סבור המשיב שאין כל קשר לדיני הנאמנות בגרמניה, ומדובר בהסכמות שנעשו עוד לפני שהנתבעת 4 הפכה לישות משפטית עצמאית. הנתבעים 1-3 מתגוררים כולם בישראל ואינם דוברים את השפה הגרמנית, והנתבע 1 אדם קשיש בן 87 אשר בריאותו ממילא לא מאפשרת לו להתייצב לדיונים בגרמניה. זאת ועוד, למחלוקת בענייננו אין כל נגיעה לעצם פעילותה של החברה בגרמניה ולעובדיה, ובנוסף,  אין מדובר בסוגיה מורכבת שעניינה במתן סעד כנגד חברה גרמנית, ואשר להחלטה בה, כביכול יש לה השלכה רוחבית על מדינה זרה.</w:t>
      </w:r>
    </w:p>
    <w:p w:rsidR="00E0442F" w:rsidRDefault="00E0442F" w:rsidP="00E0442F">
      <w:pPr>
        <w:pStyle w:val="aa"/>
        <w:rPr>
          <w:rFonts w:ascii="David" w:hAnsi="David"/>
        </w:rPr>
      </w:pPr>
    </w:p>
    <w:p w:rsidR="00E0442F" w:rsidRDefault="007737F7" w:rsidP="00E0442F">
      <w:pPr>
        <w:pStyle w:val="aa"/>
        <w:numPr>
          <w:ilvl w:val="0"/>
          <w:numId w:val="1"/>
        </w:numPr>
        <w:spacing w:line="360" w:lineRule="auto"/>
        <w:jc w:val="both"/>
        <w:rPr>
          <w:rFonts w:ascii="David" w:hAnsi="David"/>
          <w:rtl/>
        </w:rPr>
      </w:pPr>
      <w:r>
        <w:rPr>
          <w:rFonts w:ascii="David" w:hAnsi="David" w:hint="cs"/>
          <w:rtl/>
        </w:rPr>
        <w:t xml:space="preserve">המשיב </w:t>
      </w:r>
      <w:r w:rsidR="00E0442F">
        <w:rPr>
          <w:rFonts w:ascii="David" w:hAnsi="David"/>
          <w:rtl/>
        </w:rPr>
        <w:t>גורס שלא מתנהלים בגרמניה  הליכים נוספים בינו לבין הנתבעים 1-3  והמדובר בהליכים בהם מעורבת החברה- הנתבעת 4 או צדדים שלישיים, ואין בהם להשפיע על הפורום לניהול הליך זה. בנוסף, המדובר בנתבעת פורמאלית האדישה לתוצאות ההליך, ובכל מקרה מדובר במתן תוקף הצהרתי אשר מכוון כלפי הנתבעים 1-3 בלבד. עוד מוסיף המשיב שבית המשפט הישראלי מוסמך לפסוק גם עפ"י הדין הזר, ללא קשר לפורום הנאות, ולא</w:t>
      </w:r>
      <w:r w:rsidR="00E0442F">
        <w:rPr>
          <w:rFonts w:ascii="David" w:hAnsi="David"/>
        </w:rPr>
        <w:t xml:space="preserve"> </w:t>
      </w:r>
      <w:r w:rsidR="00E0442F">
        <w:rPr>
          <w:rFonts w:ascii="David" w:hAnsi="David"/>
          <w:rtl/>
        </w:rPr>
        <w:t>בנקל</w:t>
      </w:r>
      <w:r w:rsidR="00E0442F">
        <w:rPr>
          <w:rFonts w:ascii="David" w:hAnsi="David"/>
        </w:rPr>
        <w:t xml:space="preserve"> </w:t>
      </w:r>
      <w:r w:rsidR="00E0442F">
        <w:rPr>
          <w:rFonts w:ascii="David" w:hAnsi="David"/>
          <w:rtl/>
        </w:rPr>
        <w:t>ידחה</w:t>
      </w:r>
      <w:r w:rsidR="00E0442F">
        <w:rPr>
          <w:rFonts w:ascii="David" w:hAnsi="David"/>
        </w:rPr>
        <w:t xml:space="preserve"> </w:t>
      </w:r>
      <w:r w:rsidR="00E0442F">
        <w:rPr>
          <w:rFonts w:ascii="David" w:hAnsi="David"/>
          <w:rtl/>
        </w:rPr>
        <w:t>בית</w:t>
      </w:r>
      <w:r w:rsidR="00E0442F">
        <w:rPr>
          <w:rFonts w:ascii="David" w:hAnsi="David"/>
        </w:rPr>
        <w:t xml:space="preserve"> </w:t>
      </w:r>
      <w:r w:rsidR="00E0442F">
        <w:rPr>
          <w:rFonts w:ascii="David" w:hAnsi="David"/>
          <w:rtl/>
        </w:rPr>
        <w:t>המשפט</w:t>
      </w:r>
      <w:r w:rsidR="00E0442F">
        <w:rPr>
          <w:rFonts w:ascii="David" w:hAnsi="David"/>
        </w:rPr>
        <w:t xml:space="preserve"> </w:t>
      </w:r>
      <w:r w:rsidR="00E0442F">
        <w:rPr>
          <w:rFonts w:ascii="David" w:hAnsi="David"/>
          <w:rtl/>
        </w:rPr>
        <w:t>סוגיה</w:t>
      </w:r>
      <w:r w:rsidR="00E0442F">
        <w:rPr>
          <w:rFonts w:ascii="David" w:hAnsi="David"/>
        </w:rPr>
        <w:t xml:space="preserve"> </w:t>
      </w:r>
      <w:r w:rsidR="00E0442F">
        <w:rPr>
          <w:rFonts w:ascii="David" w:hAnsi="David"/>
          <w:rtl/>
        </w:rPr>
        <w:t>שהובאה</w:t>
      </w:r>
      <w:r w:rsidR="00E0442F">
        <w:rPr>
          <w:rFonts w:ascii="David" w:hAnsi="David"/>
        </w:rPr>
        <w:t xml:space="preserve"> </w:t>
      </w:r>
      <w:r w:rsidR="00E0442F">
        <w:rPr>
          <w:rFonts w:ascii="David" w:hAnsi="David"/>
          <w:rtl/>
        </w:rPr>
        <w:t>בפניו רק</w:t>
      </w:r>
      <w:r w:rsidR="00E0442F">
        <w:rPr>
          <w:rFonts w:ascii="David" w:hAnsi="David"/>
        </w:rPr>
        <w:t xml:space="preserve"> </w:t>
      </w:r>
      <w:r w:rsidR="00E0442F">
        <w:rPr>
          <w:rFonts w:ascii="David" w:hAnsi="David"/>
          <w:rtl/>
        </w:rPr>
        <w:t>בשל</w:t>
      </w:r>
      <w:r w:rsidR="00E0442F">
        <w:rPr>
          <w:rFonts w:ascii="David" w:hAnsi="David"/>
        </w:rPr>
        <w:t xml:space="preserve"> </w:t>
      </w:r>
      <w:r w:rsidR="00E0442F">
        <w:rPr>
          <w:rFonts w:ascii="David" w:hAnsi="David"/>
          <w:rtl/>
        </w:rPr>
        <w:t xml:space="preserve">הטענה לפיה </w:t>
      </w:r>
      <w:r w:rsidR="00E0442F">
        <w:rPr>
          <w:rFonts w:ascii="David" w:hAnsi="David"/>
        </w:rPr>
        <w:t xml:space="preserve"> </w:t>
      </w:r>
      <w:r w:rsidR="00E0442F">
        <w:rPr>
          <w:rFonts w:ascii="David" w:hAnsi="David"/>
          <w:rtl/>
        </w:rPr>
        <w:t>מתנהל הליך</w:t>
      </w:r>
      <w:r w:rsidR="00E0442F">
        <w:rPr>
          <w:rFonts w:ascii="David" w:hAnsi="David"/>
        </w:rPr>
        <w:t xml:space="preserve"> </w:t>
      </w:r>
      <w:r w:rsidR="00E0442F">
        <w:rPr>
          <w:rFonts w:ascii="David" w:hAnsi="David"/>
          <w:rtl/>
        </w:rPr>
        <w:t>מקביל</w:t>
      </w:r>
      <w:r w:rsidR="00E0442F">
        <w:rPr>
          <w:rFonts w:ascii="David" w:hAnsi="David"/>
        </w:rPr>
        <w:t xml:space="preserve"> </w:t>
      </w:r>
      <w:r w:rsidR="00E0442F">
        <w:rPr>
          <w:rFonts w:ascii="David" w:hAnsi="David"/>
          <w:rtl/>
        </w:rPr>
        <w:t>בחו"ל, תוך שיטה ככלל</w:t>
      </w:r>
      <w:r w:rsidR="00E0442F">
        <w:rPr>
          <w:rFonts w:ascii="David" w:hAnsi="David"/>
        </w:rPr>
        <w:t xml:space="preserve"> </w:t>
      </w:r>
      <w:r w:rsidR="00E0442F">
        <w:rPr>
          <w:rFonts w:ascii="David" w:hAnsi="David"/>
          <w:rtl/>
        </w:rPr>
        <w:t>לדון</w:t>
      </w:r>
      <w:r w:rsidR="00E0442F">
        <w:rPr>
          <w:rFonts w:ascii="David" w:hAnsi="David"/>
        </w:rPr>
        <w:t xml:space="preserve"> </w:t>
      </w:r>
      <w:r w:rsidR="00E0442F">
        <w:rPr>
          <w:rFonts w:ascii="David" w:hAnsi="David"/>
          <w:rtl/>
        </w:rPr>
        <w:t>בתובענה</w:t>
      </w:r>
      <w:r w:rsidR="00E0442F">
        <w:rPr>
          <w:rFonts w:ascii="David" w:hAnsi="David"/>
        </w:rPr>
        <w:t xml:space="preserve"> </w:t>
      </w:r>
      <w:r w:rsidR="00E0442F">
        <w:rPr>
          <w:rFonts w:ascii="David" w:hAnsi="David"/>
          <w:rtl/>
        </w:rPr>
        <w:t>המונחת</w:t>
      </w:r>
      <w:r w:rsidR="00E0442F">
        <w:rPr>
          <w:rFonts w:ascii="David" w:hAnsi="David"/>
        </w:rPr>
        <w:t xml:space="preserve"> </w:t>
      </w:r>
      <w:r w:rsidR="00E0442F">
        <w:rPr>
          <w:rFonts w:ascii="David" w:hAnsi="David"/>
          <w:rtl/>
        </w:rPr>
        <w:t>בפניו</w:t>
      </w:r>
      <w:r w:rsidR="00E0442F">
        <w:rPr>
          <w:rFonts w:ascii="David" w:hAnsi="David"/>
        </w:rPr>
        <w:t xml:space="preserve"> </w:t>
      </w:r>
      <w:r w:rsidR="00E0442F">
        <w:rPr>
          <w:rFonts w:ascii="David" w:hAnsi="David"/>
          <w:rtl/>
        </w:rPr>
        <w:t>וימנע</w:t>
      </w:r>
      <w:r w:rsidR="00E0442F">
        <w:rPr>
          <w:rFonts w:ascii="David" w:hAnsi="David"/>
        </w:rPr>
        <w:t xml:space="preserve"> </w:t>
      </w:r>
      <w:r w:rsidR="00E0442F">
        <w:rPr>
          <w:rFonts w:ascii="David" w:hAnsi="David"/>
          <w:rtl/>
        </w:rPr>
        <w:t>מלחסום</w:t>
      </w:r>
      <w:r w:rsidR="00E0442F">
        <w:rPr>
          <w:rFonts w:ascii="David" w:hAnsi="David"/>
        </w:rPr>
        <w:t xml:space="preserve"> </w:t>
      </w:r>
      <w:r w:rsidR="00E0442F">
        <w:rPr>
          <w:rFonts w:ascii="David" w:hAnsi="David"/>
          <w:rtl/>
        </w:rPr>
        <w:t>בעל דין</w:t>
      </w:r>
      <w:r w:rsidR="00E0442F">
        <w:rPr>
          <w:rFonts w:ascii="David" w:hAnsi="David"/>
        </w:rPr>
        <w:t xml:space="preserve"> </w:t>
      </w:r>
      <w:r w:rsidR="00E0442F">
        <w:rPr>
          <w:rFonts w:ascii="David" w:hAnsi="David"/>
          <w:rtl/>
        </w:rPr>
        <w:t>מגישה</w:t>
      </w:r>
      <w:r w:rsidR="00E0442F">
        <w:rPr>
          <w:rFonts w:ascii="David" w:hAnsi="David"/>
        </w:rPr>
        <w:t xml:space="preserve"> </w:t>
      </w:r>
      <w:r w:rsidR="00E0442F">
        <w:rPr>
          <w:rFonts w:ascii="David" w:hAnsi="David"/>
          <w:rtl/>
        </w:rPr>
        <w:t>לערכאות</w:t>
      </w:r>
      <w:r w:rsidR="00E0442F">
        <w:rPr>
          <w:rFonts w:ascii="David" w:hAnsi="David"/>
        </w:rPr>
        <w:t>.</w:t>
      </w:r>
    </w:p>
    <w:p w:rsidR="00E0442F" w:rsidRDefault="00E0442F" w:rsidP="00E0442F">
      <w:pPr>
        <w:pStyle w:val="aa"/>
        <w:rPr>
          <w:rFonts w:ascii="David" w:hAnsi="David"/>
        </w:rPr>
      </w:pPr>
    </w:p>
    <w:p w:rsidR="00E0442F" w:rsidRDefault="00E0442F" w:rsidP="007737F7">
      <w:pPr>
        <w:pStyle w:val="aa"/>
        <w:numPr>
          <w:ilvl w:val="0"/>
          <w:numId w:val="1"/>
        </w:numPr>
        <w:spacing w:line="360" w:lineRule="auto"/>
        <w:jc w:val="both"/>
        <w:rPr>
          <w:rFonts w:ascii="David" w:hAnsi="David"/>
          <w:rtl/>
        </w:rPr>
      </w:pPr>
      <w:r>
        <w:rPr>
          <w:rFonts w:ascii="David" w:hAnsi="David"/>
          <w:b/>
          <w:bCs/>
          <w:u w:val="single"/>
          <w:rtl/>
        </w:rPr>
        <w:t>בתשובתם הוסיפו המבקשים</w:t>
      </w:r>
      <w:r>
        <w:rPr>
          <w:rFonts w:ascii="David" w:hAnsi="David"/>
          <w:b/>
          <w:bCs/>
          <w:rtl/>
        </w:rPr>
        <w:t xml:space="preserve"> </w:t>
      </w:r>
      <w:r>
        <w:rPr>
          <w:rFonts w:ascii="David" w:hAnsi="David"/>
          <w:rtl/>
        </w:rPr>
        <w:t>שמדובר בחוסר תום לב משווע מצד התובע עת הגיש תביעתו בישראל מטעמים פסולים של "קניית פורום", בשים לב להל</w:t>
      </w:r>
      <w:r w:rsidR="007737F7">
        <w:rPr>
          <w:rFonts w:ascii="David" w:hAnsi="David" w:hint="cs"/>
          <w:rtl/>
        </w:rPr>
        <w:t>י</w:t>
      </w:r>
      <w:r>
        <w:rPr>
          <w:rFonts w:ascii="David" w:hAnsi="David"/>
          <w:rtl/>
        </w:rPr>
        <w:t xml:space="preserve">כים הרבים המתנהלים כנגדו בגרמניה, ושעה שעד כה הפורום הגרמני לא קיבל את טענותיו, ומכאן שמבקש לחלץ עצמו. עוד לשיטתם, בתגובתו התובע לא התייחס כלל להעדר סמכותו העניינית של בימ"ש לענייני משפחה ודי בכך כדי להורות על סילוק התביעה על הסף. בנוסף,  התובע לא הראה מניעה כלשהי להעיד עדים מישראל בהליכים בגרמניה, לרבות בהיוועדות חזותית, וזאת שעה שעמד על זימונו של </w:t>
      </w:r>
      <w:r>
        <w:rPr>
          <w:rFonts w:ascii="David" w:hAnsi="David"/>
          <w:rtl/>
        </w:rPr>
        <w:lastRenderedPageBreak/>
        <w:t xml:space="preserve">הנתבע 1 לחקירה בפני ביהמ"ש </w:t>
      </w:r>
      <w:proofErr w:type="spellStart"/>
      <w:r>
        <w:rPr>
          <w:rFonts w:ascii="David" w:hAnsi="David"/>
          <w:rtl/>
        </w:rPr>
        <w:t>בשטוטגרט</w:t>
      </w:r>
      <w:proofErr w:type="spellEnd"/>
      <w:r>
        <w:rPr>
          <w:rFonts w:ascii="David" w:hAnsi="David"/>
          <w:rtl/>
        </w:rPr>
        <w:t xml:space="preserve">-גרמניה במסגרת כתב הגנתו מיום 24.4.2023 בהליך מס' </w:t>
      </w:r>
      <w:r w:rsidR="007737F7">
        <w:rPr>
          <w:rFonts w:ascii="David" w:hAnsi="David" w:hint="cs"/>
          <w:rtl/>
        </w:rPr>
        <w:t>***</w:t>
      </w:r>
      <w:r>
        <w:rPr>
          <w:rFonts w:ascii="David" w:hAnsi="David"/>
          <w:rtl/>
        </w:rPr>
        <w:t>. נוסף על כך, בהתאם  לצו ביהמ"ש הגרמני מיום 10.2.22 נקבע שהנתבע 1 ייחקר בישראל בהתאם להוראות אמנת האג בדבר גביית ראיות בחו"ל בעניינים אזרחיים או מסחריים.</w:t>
      </w:r>
    </w:p>
    <w:p w:rsidR="00E0442F" w:rsidRDefault="00E0442F" w:rsidP="00E0442F">
      <w:pPr>
        <w:pStyle w:val="aa"/>
        <w:rPr>
          <w:rFonts w:ascii="David" w:hAnsi="David"/>
        </w:rPr>
      </w:pPr>
    </w:p>
    <w:p w:rsidR="00E0442F" w:rsidRDefault="00E0442F" w:rsidP="00E0442F">
      <w:pPr>
        <w:spacing w:line="360" w:lineRule="auto"/>
        <w:jc w:val="both"/>
        <w:rPr>
          <w:rFonts w:ascii="David" w:hAnsi="David"/>
          <w:b/>
          <w:bCs/>
          <w:sz w:val="28"/>
          <w:szCs w:val="28"/>
          <w:u w:val="single"/>
          <w:rtl/>
        </w:rPr>
      </w:pPr>
      <w:r>
        <w:rPr>
          <w:rFonts w:ascii="David" w:hAnsi="David"/>
          <w:b/>
          <w:bCs/>
          <w:sz w:val="28"/>
          <w:szCs w:val="28"/>
          <w:u w:val="single"/>
          <w:rtl/>
        </w:rPr>
        <w:t>דיון והכרעה:</w:t>
      </w:r>
    </w:p>
    <w:p w:rsidR="00E0442F" w:rsidRDefault="00E0442F" w:rsidP="00E0442F">
      <w:pPr>
        <w:jc w:val="both"/>
        <w:rPr>
          <w:rFonts w:ascii="David" w:hAnsi="David"/>
        </w:rPr>
      </w:pPr>
    </w:p>
    <w:p w:rsidR="00E0442F" w:rsidRDefault="00E0442F" w:rsidP="00E0442F">
      <w:pPr>
        <w:spacing w:line="360" w:lineRule="auto"/>
        <w:jc w:val="both"/>
        <w:rPr>
          <w:rFonts w:ascii="David" w:hAnsi="David"/>
          <w:rtl/>
        </w:rPr>
      </w:pPr>
      <w:r>
        <w:rPr>
          <w:rFonts w:ascii="David" w:hAnsi="David"/>
          <w:rtl/>
        </w:rPr>
        <w:t xml:space="preserve">לאחר שעיינתי בבקשה, בתגובה ובתשובה, נתתי דעתי לנסיבות תיק זה ולהוראות הדין, מצאתי לקבל את הבקשה ולהורות על סילוק התביעה על הסף מחמת פורום בלתי נאות. אנמק: </w:t>
      </w:r>
    </w:p>
    <w:p w:rsidR="00E0442F" w:rsidRDefault="00E0442F" w:rsidP="00E0442F">
      <w:pPr>
        <w:jc w:val="both"/>
        <w:rPr>
          <w:rFonts w:ascii="David" w:hAnsi="David"/>
          <w:rtl/>
        </w:rPr>
      </w:pPr>
    </w:p>
    <w:p w:rsidR="00E0442F" w:rsidRDefault="00E0442F" w:rsidP="00E0442F">
      <w:pPr>
        <w:spacing w:line="360" w:lineRule="auto"/>
        <w:jc w:val="both"/>
        <w:rPr>
          <w:rFonts w:ascii="David" w:hAnsi="David"/>
          <w:b/>
          <w:bCs/>
          <w:u w:val="single"/>
          <w:rtl/>
        </w:rPr>
      </w:pPr>
      <w:r>
        <w:rPr>
          <w:rFonts w:ascii="David" w:hAnsi="David"/>
          <w:b/>
          <w:bCs/>
          <w:u w:val="single"/>
          <w:rtl/>
        </w:rPr>
        <w:t>המתווה הנורמטיבי:</w:t>
      </w:r>
    </w:p>
    <w:p w:rsidR="00E0442F" w:rsidRDefault="00E0442F" w:rsidP="00E0442F">
      <w:pPr>
        <w:spacing w:line="360" w:lineRule="auto"/>
        <w:jc w:val="both"/>
        <w:rPr>
          <w:rFonts w:ascii="David" w:hAnsi="David"/>
          <w:b/>
          <w:bCs/>
          <w:rtl/>
        </w:rPr>
      </w:pPr>
    </w:p>
    <w:p w:rsidR="00E0442F" w:rsidRDefault="00E0442F" w:rsidP="00E0442F">
      <w:pPr>
        <w:pStyle w:val="aa"/>
        <w:numPr>
          <w:ilvl w:val="0"/>
          <w:numId w:val="1"/>
        </w:numPr>
        <w:spacing w:line="360" w:lineRule="auto"/>
        <w:jc w:val="both"/>
        <w:rPr>
          <w:rFonts w:ascii="David" w:hAnsi="David"/>
          <w:b/>
          <w:bCs/>
          <w:rtl/>
        </w:rPr>
      </w:pPr>
      <w:r>
        <w:rPr>
          <w:rFonts w:ascii="David" w:hAnsi="David"/>
          <w:rtl/>
        </w:rPr>
        <w:t>ככלל, כשקמה לבית משפט בישראל סמכות בינלאומית לדון בתובענה, יעשה שימוש בסמכות זו וידון בה. חריג לכלל זה הוכר במסגרת דוקטרינת הפורום הלא נאות (</w:t>
      </w:r>
      <w:r>
        <w:rPr>
          <w:rFonts w:ascii="David" w:hAnsi="David"/>
        </w:rPr>
        <w:t>Forum non Convenience</w:t>
      </w:r>
      <w:r>
        <w:rPr>
          <w:rFonts w:ascii="David" w:hAnsi="David"/>
          <w:rtl/>
        </w:rPr>
        <w:t>) המאפשרת לבית המשפט שקנה סמכות בינלאומית, שלא לדון בתובענה, במידה ומצא שישנו פורום חלופי אחר המתאים יותר לדון בה (</w:t>
      </w:r>
      <w:hyperlink r:id="rId7" w:history="1">
        <w:r>
          <w:rPr>
            <w:rStyle w:val="Hyperlink"/>
            <w:rFonts w:ascii="David" w:hAnsi="David"/>
            <w:rtl/>
          </w:rPr>
          <w:t>ע"א 4025/13</w:t>
        </w:r>
      </w:hyperlink>
      <w:r>
        <w:rPr>
          <w:rFonts w:ascii="David" w:hAnsi="David"/>
          <w:rtl/>
        </w:rPr>
        <w:t xml:space="preserve"> </w:t>
      </w:r>
      <w:proofErr w:type="spellStart"/>
      <w:r>
        <w:rPr>
          <w:rFonts w:ascii="David" w:hAnsi="David" w:hint="cs"/>
          <w:b/>
          <w:bCs/>
          <w:rtl/>
        </w:rPr>
        <w:t>נייגל</w:t>
      </w:r>
      <w:proofErr w:type="spellEnd"/>
      <w:r>
        <w:rPr>
          <w:rFonts w:ascii="David" w:hAnsi="David" w:hint="cs"/>
          <w:b/>
          <w:bCs/>
          <w:rtl/>
        </w:rPr>
        <w:t xml:space="preserve"> וויליאם נ' </w:t>
      </w:r>
      <w:r>
        <w:rPr>
          <w:rFonts w:ascii="David" w:hAnsi="David"/>
          <w:b/>
          <w:bCs/>
        </w:rPr>
        <w:t xml:space="preserve">Deutsche </w:t>
      </w:r>
      <w:proofErr w:type="spellStart"/>
      <w:r>
        <w:rPr>
          <w:rFonts w:ascii="David" w:hAnsi="David"/>
          <w:b/>
          <w:bCs/>
        </w:rPr>
        <w:t>Telekon</w:t>
      </w:r>
      <w:proofErr w:type="spellEnd"/>
      <w:r>
        <w:rPr>
          <w:rFonts w:ascii="David" w:hAnsi="David"/>
          <w:b/>
          <w:bCs/>
        </w:rPr>
        <w:t xml:space="preserve"> AG</w:t>
      </w:r>
      <w:r>
        <w:rPr>
          <w:rFonts w:ascii="David" w:hAnsi="David"/>
          <w:rtl/>
        </w:rPr>
        <w:t xml:space="preserve"> </w:t>
      </w:r>
      <w:r>
        <w:rPr>
          <w:rFonts w:ascii="David" w:hAnsi="David" w:hint="cs"/>
          <w:rtl/>
        </w:rPr>
        <w:t xml:space="preserve">[נבו] (06.11.2014); </w:t>
      </w:r>
      <w:hyperlink r:id="rId8" w:history="1">
        <w:r>
          <w:rPr>
            <w:rStyle w:val="Hyperlink"/>
            <w:rFonts w:ascii="David" w:hAnsi="David"/>
            <w:rtl/>
          </w:rPr>
          <w:t>רע"א 9810/05</w:t>
        </w:r>
      </w:hyperlink>
      <w:r>
        <w:rPr>
          <w:rFonts w:ascii="David" w:hAnsi="David"/>
          <w:rtl/>
        </w:rPr>
        <w:t xml:space="preserve"> </w:t>
      </w:r>
      <w:r>
        <w:rPr>
          <w:rFonts w:ascii="David" w:hAnsi="David"/>
          <w:b/>
          <w:bCs/>
        </w:rPr>
        <w:t xml:space="preserve">Martin J. </w:t>
      </w:r>
      <w:proofErr w:type="spellStart"/>
      <w:r>
        <w:rPr>
          <w:rFonts w:ascii="David" w:hAnsi="David"/>
          <w:b/>
          <w:bCs/>
        </w:rPr>
        <w:t>Hecke</w:t>
      </w:r>
      <w:proofErr w:type="spellEnd"/>
      <w:r>
        <w:rPr>
          <w:rFonts w:ascii="David" w:hAnsi="David"/>
          <w:b/>
          <w:bCs/>
          <w:rtl/>
        </w:rPr>
        <w:t xml:space="preserve"> נ' </w:t>
      </w:r>
      <w:proofErr w:type="spellStart"/>
      <w:r>
        <w:rPr>
          <w:rFonts w:ascii="David" w:hAnsi="David"/>
          <w:b/>
          <w:bCs/>
        </w:rPr>
        <w:t>Pimcapco</w:t>
      </w:r>
      <w:proofErr w:type="spellEnd"/>
      <w:r>
        <w:rPr>
          <w:rFonts w:ascii="David" w:hAnsi="David"/>
          <w:b/>
          <w:bCs/>
        </w:rPr>
        <w:t xml:space="preserve"> Limited</w:t>
      </w:r>
      <w:r>
        <w:rPr>
          <w:rFonts w:ascii="David" w:hAnsi="David"/>
          <w:rtl/>
        </w:rPr>
        <w:t xml:space="preserve"> ואח' [נבו] (30.08.2009) (להלן: </w:t>
      </w:r>
      <w:r>
        <w:rPr>
          <w:rFonts w:ascii="David" w:hAnsi="David"/>
          <w:b/>
          <w:bCs/>
          <w:rtl/>
        </w:rPr>
        <w:t xml:space="preserve">עניין </w:t>
      </w:r>
      <w:proofErr w:type="spellStart"/>
      <w:r>
        <w:rPr>
          <w:rFonts w:ascii="David" w:hAnsi="David"/>
          <w:b/>
          <w:bCs/>
        </w:rPr>
        <w:t>Hecke</w:t>
      </w:r>
      <w:proofErr w:type="spellEnd"/>
      <w:r>
        <w:rPr>
          <w:rFonts w:ascii="David" w:hAnsi="David"/>
          <w:rtl/>
        </w:rPr>
        <w:t xml:space="preserve">)). כך נקבע בעניין </w:t>
      </w:r>
      <w:proofErr w:type="spellStart"/>
      <w:r>
        <w:rPr>
          <w:rFonts w:ascii="David" w:hAnsi="David"/>
        </w:rPr>
        <w:t>Hecke</w:t>
      </w:r>
      <w:proofErr w:type="spellEnd"/>
      <w:r>
        <w:rPr>
          <w:rFonts w:ascii="David" w:hAnsi="David"/>
          <w:rtl/>
        </w:rPr>
        <w:t xml:space="preserve"> </w:t>
      </w:r>
      <w:r>
        <w:rPr>
          <w:rFonts w:ascii="David" w:hAnsi="David" w:hint="cs"/>
          <w:rtl/>
        </w:rPr>
        <w:t>:</w:t>
      </w:r>
      <w:r>
        <w:rPr>
          <w:rFonts w:ascii="David" w:hAnsi="David" w:hint="cs"/>
          <w:b/>
          <w:bCs/>
          <w:rtl/>
        </w:rPr>
        <w:t xml:space="preserve"> </w:t>
      </w:r>
    </w:p>
    <w:p w:rsidR="00E0442F" w:rsidRDefault="00E0442F" w:rsidP="00E0442F">
      <w:pPr>
        <w:pStyle w:val="aa"/>
        <w:spacing w:line="360" w:lineRule="auto"/>
        <w:ind w:left="567"/>
        <w:jc w:val="both"/>
        <w:rPr>
          <w:rFonts w:ascii="David" w:hAnsi="David"/>
          <w:b/>
          <w:bCs/>
          <w:highlight w:val="green"/>
          <w:rtl/>
        </w:rPr>
      </w:pPr>
      <w:r>
        <w:rPr>
          <w:rFonts w:ascii="David" w:hAnsi="David"/>
          <w:b/>
          <w:bCs/>
          <w:rtl/>
        </w:rPr>
        <w:t xml:space="preserve">"המבחן המכריע לבחינת תחולתה של דוקטרינת "הפורום הלא נאות" הינו האם הפורום המקומי הוא "הפורום הטבעי" או שקיים פורום טבעי זר בעל סמכות לדון בתובענה. מבחן זה מוכרע בהתחשב במכלול נסיבותיו של המקרה. בכלל זה יש לבחון את השאלה מהו הפורום בעל הקשר המשמעותי והמהותי למחלוקת נשוא הדיון, אליו מובילות מירב הזיקות הרלוונטיות (ראו, ע"א 9725/04 אשבורן חברה לסוכנויות ומסחר נ' </w:t>
      </w:r>
      <w:r>
        <w:rPr>
          <w:rFonts w:ascii="David" w:hAnsi="David"/>
          <w:b/>
          <w:bCs/>
        </w:rPr>
        <w:t>CAE Electronics Ltd</w:t>
      </w:r>
      <w:r>
        <w:rPr>
          <w:rFonts w:ascii="David" w:hAnsi="David"/>
          <w:b/>
          <w:bCs/>
          <w:rtl/>
        </w:rPr>
        <w:t xml:space="preserve">, </w:t>
      </w:r>
      <w:proofErr w:type="spellStart"/>
      <w:r>
        <w:rPr>
          <w:rFonts w:ascii="David" w:hAnsi="David"/>
          <w:b/>
          <w:bCs/>
          <w:rtl/>
        </w:rPr>
        <w:t>בפיסקה</w:t>
      </w:r>
      <w:proofErr w:type="spellEnd"/>
      <w:r>
        <w:rPr>
          <w:rFonts w:ascii="David" w:hAnsi="David"/>
          <w:b/>
          <w:bCs/>
          <w:rtl/>
        </w:rPr>
        <w:t xml:space="preserve"> 18 (לא פורסם, 4.9.2007); רע"א 851/99</w:t>
      </w:r>
      <w:r>
        <w:rPr>
          <w:rFonts w:ascii="David" w:hAnsi="David"/>
          <w:b/>
          <w:bCs/>
        </w:rPr>
        <w:t xml:space="preserve">T. Van </w:t>
      </w:r>
      <w:proofErr w:type="spellStart"/>
      <w:r>
        <w:rPr>
          <w:rFonts w:ascii="David" w:hAnsi="David"/>
          <w:b/>
          <w:bCs/>
        </w:rPr>
        <w:t>Doosselaere</w:t>
      </w:r>
      <w:proofErr w:type="spellEnd"/>
      <w:r>
        <w:rPr>
          <w:rFonts w:ascii="David" w:hAnsi="David"/>
          <w:b/>
          <w:bCs/>
          <w:rtl/>
        </w:rPr>
        <w:t xml:space="preserve"> נ' </w:t>
      </w:r>
      <w:proofErr w:type="spellStart"/>
      <w:r>
        <w:rPr>
          <w:rFonts w:ascii="David" w:hAnsi="David"/>
          <w:b/>
          <w:bCs/>
        </w:rPr>
        <w:t>Depypere</w:t>
      </w:r>
      <w:proofErr w:type="spellEnd"/>
      <w:r>
        <w:rPr>
          <w:rFonts w:ascii="David" w:hAnsi="David"/>
          <w:b/>
          <w:bCs/>
          <w:rtl/>
        </w:rPr>
        <w:t xml:space="preserve">, פ"ד </w:t>
      </w:r>
      <w:proofErr w:type="spellStart"/>
      <w:proofErr w:type="gramStart"/>
      <w:r>
        <w:rPr>
          <w:rFonts w:ascii="David" w:hAnsi="David"/>
          <w:b/>
          <w:bCs/>
          <w:rtl/>
        </w:rPr>
        <w:t>נז</w:t>
      </w:r>
      <w:proofErr w:type="spellEnd"/>
      <w:r>
        <w:rPr>
          <w:rFonts w:ascii="David" w:hAnsi="David"/>
          <w:b/>
          <w:bCs/>
          <w:rtl/>
        </w:rPr>
        <w:t>(</w:t>
      </w:r>
      <w:proofErr w:type="gramEnd"/>
      <w:r>
        <w:rPr>
          <w:rFonts w:ascii="David" w:hAnsi="David"/>
          <w:b/>
          <w:bCs/>
          <w:rtl/>
        </w:rPr>
        <w:t xml:space="preserve">1) 800, 815-813 (2003)). לשם בחינת שאלה זו, על בית המשפט להביא בחשבון שיקולים שונים. על שיקולים אלו ניתן למנות את מקום מושבם ועסקיהם של הצדדים, גישה למקור הראיות, האפשרות לחייב עדים להעיד בבית המשפט, ההוצאות הכרוכות בהבאתם ועוד (ראו, רע"א 4716/93 החברה הערבית לביטוח שכם נ' </w:t>
      </w:r>
      <w:proofErr w:type="spellStart"/>
      <w:r>
        <w:rPr>
          <w:rFonts w:ascii="David" w:hAnsi="David"/>
          <w:b/>
          <w:bCs/>
          <w:rtl/>
        </w:rPr>
        <w:t>זריקאת</w:t>
      </w:r>
      <w:proofErr w:type="spellEnd"/>
      <w:r>
        <w:rPr>
          <w:rFonts w:ascii="David" w:hAnsi="David"/>
          <w:b/>
          <w:bCs/>
          <w:rtl/>
        </w:rPr>
        <w:t xml:space="preserve">, פ"ד מח(3) 265, 270-269 (1994) (להלן - עניין </w:t>
      </w:r>
      <w:proofErr w:type="spellStart"/>
      <w:r>
        <w:rPr>
          <w:rFonts w:ascii="David" w:hAnsi="David"/>
          <w:b/>
          <w:bCs/>
          <w:rtl/>
        </w:rPr>
        <w:t>זריקאת</w:t>
      </w:r>
      <w:proofErr w:type="spellEnd"/>
      <w:r>
        <w:rPr>
          <w:rFonts w:ascii="David" w:hAnsi="David"/>
          <w:b/>
          <w:bCs/>
          <w:rtl/>
        </w:rPr>
        <w:t xml:space="preserve">); </w:t>
      </w:r>
      <w:proofErr w:type="spellStart"/>
      <w:r>
        <w:rPr>
          <w:rFonts w:ascii="David" w:hAnsi="David"/>
          <w:b/>
          <w:bCs/>
          <w:rtl/>
        </w:rPr>
        <w:t>מיכאיל</w:t>
      </w:r>
      <w:proofErr w:type="spellEnd"/>
      <w:r>
        <w:rPr>
          <w:rFonts w:ascii="David" w:hAnsi="David"/>
          <w:b/>
          <w:bCs/>
          <w:rtl/>
        </w:rPr>
        <w:t xml:space="preserve"> קרייני "שיקולי הפורום הנאות: מסעם אל תום האלף השני ומעבר לו" מחקרי משפט </w:t>
      </w:r>
      <w:proofErr w:type="spellStart"/>
      <w:r>
        <w:rPr>
          <w:rFonts w:ascii="David" w:hAnsi="David"/>
          <w:b/>
          <w:bCs/>
          <w:rtl/>
        </w:rPr>
        <w:t>יט</w:t>
      </w:r>
      <w:proofErr w:type="spellEnd"/>
      <w:r>
        <w:rPr>
          <w:rFonts w:ascii="David" w:hAnsi="David"/>
          <w:b/>
          <w:bCs/>
          <w:rtl/>
        </w:rPr>
        <w:t xml:space="preserve"> 67, 70-69 (2002) (להלן - "שיקולי הפורום הנאות")). ... מעבר לכך יצוין, כי בפסיקה כיום מסתמנת מגמה של הגברת נטל זה וצמצום ההיענות לטענת "פורום לא נאות". זאת, לאור ההתפתחויות שחלו באמצעי התחבורה ובדרכי התקשורת המודרניות (ראו, רע"א 2705/97 הגבס א' סיני (1989) בע"מ נ' </w:t>
      </w:r>
      <w:r>
        <w:rPr>
          <w:rFonts w:ascii="David" w:hAnsi="David"/>
          <w:b/>
          <w:bCs/>
        </w:rPr>
        <w:t xml:space="preserve">The </w:t>
      </w:r>
      <w:proofErr w:type="spellStart"/>
      <w:r>
        <w:rPr>
          <w:rFonts w:ascii="David" w:hAnsi="David"/>
          <w:b/>
          <w:bCs/>
        </w:rPr>
        <w:t>Lockformer</w:t>
      </w:r>
      <w:proofErr w:type="spellEnd"/>
      <w:r>
        <w:rPr>
          <w:rFonts w:ascii="David" w:hAnsi="David"/>
          <w:b/>
          <w:bCs/>
        </w:rPr>
        <w:t xml:space="preserve"> Co</w:t>
      </w:r>
      <w:r>
        <w:rPr>
          <w:rFonts w:ascii="David" w:hAnsi="David"/>
          <w:b/>
          <w:bCs/>
          <w:rtl/>
        </w:rPr>
        <w:t>, פ"ד נב(1) 109, 114 (השופט ת' אור) (1998); רע"א 749/05</w:t>
      </w:r>
      <w:r>
        <w:rPr>
          <w:rFonts w:ascii="David" w:hAnsi="David"/>
          <w:b/>
          <w:bCs/>
        </w:rPr>
        <w:t>Insight Venture Partners</w:t>
      </w:r>
      <w:r>
        <w:rPr>
          <w:rFonts w:ascii="David" w:hAnsi="David"/>
          <w:b/>
          <w:bCs/>
          <w:rtl/>
        </w:rPr>
        <w:t xml:space="preserve"> נ' טכנו הולד אחד (לא פורסם, 11.4.05))."</w:t>
      </w:r>
    </w:p>
    <w:p w:rsidR="00E0442F" w:rsidRDefault="00E0442F" w:rsidP="00E0442F">
      <w:pPr>
        <w:pStyle w:val="1"/>
        <w:spacing w:line="360" w:lineRule="auto"/>
        <w:ind w:left="567"/>
        <w:jc w:val="both"/>
        <w:rPr>
          <w:rFonts w:ascii="David" w:hAnsi="David"/>
          <w:highlight w:val="yellow"/>
          <w:rtl/>
        </w:rPr>
      </w:pPr>
    </w:p>
    <w:p w:rsidR="00E0442F" w:rsidRDefault="00E0442F" w:rsidP="00E0442F">
      <w:pPr>
        <w:pStyle w:val="1"/>
        <w:numPr>
          <w:ilvl w:val="0"/>
          <w:numId w:val="1"/>
        </w:numPr>
        <w:spacing w:line="360" w:lineRule="auto"/>
        <w:jc w:val="both"/>
        <w:rPr>
          <w:rFonts w:ascii="David" w:hAnsi="David"/>
          <w:rtl/>
        </w:rPr>
      </w:pPr>
      <w:r>
        <w:rPr>
          <w:rFonts w:ascii="David" w:hAnsi="David"/>
          <w:rtl/>
        </w:rPr>
        <w:lastRenderedPageBreak/>
        <w:t>לצורך בחינת הפורום יעשה שימוש בשלושה מבחני עזר: מבחן מרב הזיקות, מבחן ציפיותיהם הסבירות של הצדדים לגבי מקום ההתדיינות ומבחן השיקולים הציבוריים (</w:t>
      </w:r>
      <w:hyperlink r:id="rId9" w:history="1">
        <w:r>
          <w:rPr>
            <w:rStyle w:val="Hyperlink"/>
            <w:rFonts w:ascii="David" w:hAnsi="David"/>
            <w:rtl/>
          </w:rPr>
          <w:t>רע"א 3144/03</w:t>
        </w:r>
      </w:hyperlink>
      <w:r>
        <w:rPr>
          <w:rFonts w:ascii="David" w:hAnsi="David"/>
          <w:rtl/>
        </w:rPr>
        <w:t xml:space="preserve"> </w:t>
      </w:r>
      <w:r>
        <w:rPr>
          <w:rFonts w:ascii="David" w:hAnsi="David" w:hint="cs"/>
          <w:b/>
          <w:bCs/>
          <w:rtl/>
        </w:rPr>
        <w:t>אלביט הדמיה רפואית בע"מ נ'</w:t>
      </w:r>
      <w:proofErr w:type="spellStart"/>
      <w:r>
        <w:rPr>
          <w:rFonts w:ascii="David" w:hAnsi="David"/>
          <w:b/>
          <w:bCs/>
        </w:rPr>
        <w:t>Harefuah</w:t>
      </w:r>
      <w:proofErr w:type="spellEnd"/>
      <w:r>
        <w:rPr>
          <w:rFonts w:ascii="David" w:hAnsi="David"/>
          <w:b/>
          <w:bCs/>
        </w:rPr>
        <w:t xml:space="preserve"> </w:t>
      </w:r>
      <w:proofErr w:type="spellStart"/>
      <w:r>
        <w:rPr>
          <w:rFonts w:ascii="David" w:hAnsi="David"/>
          <w:b/>
          <w:bCs/>
        </w:rPr>
        <w:t>Servicos</w:t>
      </w:r>
      <w:proofErr w:type="spellEnd"/>
      <w:r>
        <w:rPr>
          <w:rFonts w:ascii="David" w:hAnsi="David"/>
          <w:b/>
          <w:bCs/>
        </w:rPr>
        <w:t xml:space="preserve"> de </w:t>
      </w:r>
      <w:proofErr w:type="spellStart"/>
      <w:r>
        <w:rPr>
          <w:rFonts w:ascii="David" w:hAnsi="David"/>
          <w:b/>
          <w:bCs/>
        </w:rPr>
        <w:t>Saude</w:t>
      </w:r>
      <w:proofErr w:type="spellEnd"/>
      <w:r>
        <w:rPr>
          <w:rFonts w:ascii="David" w:hAnsi="David"/>
          <w:b/>
          <w:bCs/>
        </w:rPr>
        <w:t xml:space="preserve"> S/C </w:t>
      </w:r>
      <w:proofErr w:type="spellStart"/>
      <w:r>
        <w:rPr>
          <w:rFonts w:ascii="David" w:hAnsi="David"/>
          <w:b/>
          <w:bCs/>
        </w:rPr>
        <w:t>Ltda</w:t>
      </w:r>
      <w:proofErr w:type="spellEnd"/>
      <w:r>
        <w:rPr>
          <w:rFonts w:ascii="David" w:hAnsi="David"/>
          <w:b/>
          <w:bCs/>
        </w:rPr>
        <w:t xml:space="preserve"> </w:t>
      </w:r>
      <w:r>
        <w:rPr>
          <w:rFonts w:ascii="David" w:hAnsi="David"/>
          <w:rtl/>
        </w:rPr>
        <w:t xml:space="preserve">, פ"ד </w:t>
      </w:r>
      <w:proofErr w:type="spellStart"/>
      <w:r>
        <w:rPr>
          <w:rFonts w:ascii="David" w:hAnsi="David"/>
          <w:rtl/>
        </w:rPr>
        <w:t>נז</w:t>
      </w:r>
      <w:proofErr w:type="spellEnd"/>
      <w:r>
        <w:rPr>
          <w:rFonts w:ascii="David" w:hAnsi="David"/>
          <w:rtl/>
        </w:rPr>
        <w:t xml:space="preserve">(5), 414, 421 (2003) (להלן: </w:t>
      </w:r>
      <w:r>
        <w:rPr>
          <w:rFonts w:ascii="David" w:hAnsi="David"/>
          <w:b/>
          <w:bCs/>
          <w:rtl/>
        </w:rPr>
        <w:t>עניין אלביט</w:t>
      </w:r>
      <w:r>
        <w:rPr>
          <w:rFonts w:ascii="David" w:hAnsi="David"/>
          <w:rtl/>
        </w:rPr>
        <w:t xml:space="preserve">); </w:t>
      </w:r>
      <w:hyperlink r:id="rId10" w:history="1">
        <w:r>
          <w:rPr>
            <w:rStyle w:val="Hyperlink"/>
            <w:rFonts w:ascii="David" w:hAnsi="David"/>
            <w:rtl/>
          </w:rPr>
          <w:t>רע"א 2737/08</w:t>
        </w:r>
      </w:hyperlink>
      <w:r>
        <w:rPr>
          <w:rFonts w:ascii="David" w:hAnsi="David"/>
          <w:rtl/>
        </w:rPr>
        <w:t xml:space="preserve"> </w:t>
      </w:r>
      <w:r>
        <w:rPr>
          <w:rFonts w:ascii="David" w:hAnsi="David" w:hint="cs"/>
          <w:b/>
          <w:bCs/>
          <w:rtl/>
        </w:rPr>
        <w:t xml:space="preserve">אורי ארבל נ' </w:t>
      </w:r>
      <w:r>
        <w:rPr>
          <w:rFonts w:ascii="David" w:hAnsi="David"/>
          <w:b/>
          <w:bCs/>
        </w:rPr>
        <w:t>TUI AG</w:t>
      </w:r>
      <w:r>
        <w:rPr>
          <w:rFonts w:ascii="David" w:hAnsi="David"/>
          <w:b/>
          <w:bCs/>
          <w:rtl/>
        </w:rPr>
        <w:t xml:space="preserve"> </w:t>
      </w:r>
      <w:r>
        <w:rPr>
          <w:rFonts w:ascii="David" w:hAnsi="David"/>
          <w:rtl/>
        </w:rPr>
        <w:t xml:space="preserve">[נבו] (29.01.2009) (להלן: </w:t>
      </w:r>
      <w:r>
        <w:rPr>
          <w:rFonts w:ascii="David" w:hAnsi="David"/>
          <w:b/>
          <w:bCs/>
          <w:rtl/>
        </w:rPr>
        <w:t>עניין אורי ארבל</w:t>
      </w:r>
      <w:r>
        <w:rPr>
          <w:rFonts w:ascii="David" w:hAnsi="David"/>
          <w:rtl/>
        </w:rPr>
        <w:t xml:space="preserve">); </w:t>
      </w:r>
      <w:hyperlink r:id="rId11" w:history="1">
        <w:r>
          <w:rPr>
            <w:rStyle w:val="Hyperlink"/>
            <w:rFonts w:ascii="David" w:hAnsi="David"/>
            <w:rtl/>
          </w:rPr>
          <w:t>רע"א 9810/05</w:t>
        </w:r>
      </w:hyperlink>
      <w:r>
        <w:rPr>
          <w:rFonts w:ascii="David" w:hAnsi="David"/>
          <w:rtl/>
        </w:rPr>
        <w:t xml:space="preserve"> </w:t>
      </w:r>
      <w:r>
        <w:rPr>
          <w:rFonts w:ascii="David" w:hAnsi="David"/>
          <w:b/>
          <w:bCs/>
        </w:rPr>
        <w:t xml:space="preserve">Martin J. </w:t>
      </w:r>
      <w:proofErr w:type="spellStart"/>
      <w:r>
        <w:rPr>
          <w:rFonts w:ascii="David" w:hAnsi="David"/>
          <w:b/>
          <w:bCs/>
        </w:rPr>
        <w:t>Hecke</w:t>
      </w:r>
      <w:proofErr w:type="spellEnd"/>
      <w:r>
        <w:rPr>
          <w:rFonts w:ascii="David" w:hAnsi="David"/>
          <w:b/>
          <w:bCs/>
          <w:rtl/>
        </w:rPr>
        <w:t xml:space="preserve"> נ' </w:t>
      </w:r>
      <w:proofErr w:type="spellStart"/>
      <w:r>
        <w:rPr>
          <w:rFonts w:ascii="David" w:hAnsi="David"/>
          <w:b/>
          <w:bCs/>
        </w:rPr>
        <w:t>Pimcapco</w:t>
      </w:r>
      <w:proofErr w:type="spellEnd"/>
      <w:r>
        <w:rPr>
          <w:rFonts w:ascii="David" w:hAnsi="David"/>
          <w:b/>
          <w:bCs/>
        </w:rPr>
        <w:t xml:space="preserve"> Limited</w:t>
      </w:r>
      <w:r>
        <w:rPr>
          <w:rFonts w:ascii="David" w:hAnsi="David"/>
          <w:rtl/>
        </w:rPr>
        <w:t xml:space="preserve"> ואח' [נבו] (30.08.2009)</w:t>
      </w:r>
      <w:r>
        <w:rPr>
          <w:rFonts w:ascii="David" w:hAnsi="David"/>
          <w:b/>
          <w:bCs/>
          <w:rtl/>
        </w:rPr>
        <w:t>.</w:t>
      </w:r>
    </w:p>
    <w:p w:rsidR="00E0442F" w:rsidRDefault="00E0442F" w:rsidP="00E0442F">
      <w:pPr>
        <w:pStyle w:val="1"/>
        <w:jc w:val="both"/>
        <w:rPr>
          <w:rFonts w:ascii="David" w:hAnsi="David"/>
          <w:rtl/>
        </w:rPr>
      </w:pPr>
    </w:p>
    <w:p w:rsidR="00E0442F" w:rsidRDefault="00E0442F" w:rsidP="00E0442F">
      <w:pPr>
        <w:pStyle w:val="1"/>
        <w:numPr>
          <w:ilvl w:val="0"/>
          <w:numId w:val="1"/>
        </w:numPr>
        <w:spacing w:line="360" w:lineRule="auto"/>
        <w:jc w:val="both"/>
        <w:rPr>
          <w:rFonts w:ascii="David" w:hAnsi="David"/>
        </w:rPr>
      </w:pPr>
      <w:r>
        <w:rPr>
          <w:rFonts w:ascii="David" w:hAnsi="David"/>
          <w:u w:val="single"/>
          <w:rtl/>
        </w:rPr>
        <w:t>במסגרת מבחן מרב הזיקות</w:t>
      </w:r>
      <w:r>
        <w:rPr>
          <w:rFonts w:ascii="David" w:hAnsi="David"/>
          <w:rtl/>
        </w:rPr>
        <w:t xml:space="preserve"> יבחן בית המשפט "מהו הפורום לו מירב הזיקות הרלוונטיות להן הקשר </w:t>
      </w:r>
      <w:proofErr w:type="spellStart"/>
      <w:r>
        <w:rPr>
          <w:rFonts w:ascii="David" w:hAnsi="David"/>
          <w:rtl/>
        </w:rPr>
        <w:t>האמיתי</w:t>
      </w:r>
      <w:proofErr w:type="spellEnd"/>
      <w:r>
        <w:rPr>
          <w:rFonts w:ascii="David" w:hAnsi="David"/>
          <w:rtl/>
        </w:rPr>
        <w:t>, המשמעותי והמהותי למקרה נושא הדיון. ההכרעה בשאלת נאותות הפורום נבחנת על פי כלל נסיבות המקרה</w:t>
      </w:r>
      <w:r>
        <w:rPr>
          <w:rFonts w:ascii="David" w:hAnsi="David"/>
          <w:b/>
          <w:bCs/>
          <w:rtl/>
        </w:rPr>
        <w:t>"</w:t>
      </w:r>
      <w:r>
        <w:rPr>
          <w:rFonts w:ascii="David" w:hAnsi="David"/>
          <w:rtl/>
        </w:rPr>
        <w:t xml:space="preserve"> (</w:t>
      </w:r>
      <w:hyperlink r:id="rId12" w:history="1">
        <w:r>
          <w:rPr>
            <w:rStyle w:val="Hyperlink"/>
            <w:rFonts w:ascii="David" w:hAnsi="David"/>
            <w:rtl/>
          </w:rPr>
          <w:t>רע"א 2705/97</w:t>
        </w:r>
      </w:hyperlink>
      <w:r>
        <w:rPr>
          <w:rFonts w:ascii="David" w:hAnsi="David"/>
          <w:rtl/>
        </w:rPr>
        <w:t xml:space="preserve"> </w:t>
      </w:r>
      <w:r>
        <w:rPr>
          <w:rFonts w:ascii="David" w:hAnsi="David" w:hint="cs"/>
          <w:b/>
          <w:bCs/>
          <w:rtl/>
        </w:rPr>
        <w:t xml:space="preserve">הגבס א' סיני (1989) בע"מ נ' </w:t>
      </w:r>
      <w:r>
        <w:rPr>
          <w:rFonts w:ascii="David" w:hAnsi="David"/>
          <w:b/>
          <w:bCs/>
        </w:rPr>
        <w:t xml:space="preserve">The </w:t>
      </w:r>
      <w:proofErr w:type="spellStart"/>
      <w:r>
        <w:rPr>
          <w:rFonts w:ascii="David" w:hAnsi="David"/>
          <w:b/>
          <w:bCs/>
        </w:rPr>
        <w:t>lockformer</w:t>
      </w:r>
      <w:proofErr w:type="spellEnd"/>
      <w:r>
        <w:rPr>
          <w:rFonts w:ascii="David" w:hAnsi="David"/>
          <w:b/>
          <w:bCs/>
        </w:rPr>
        <w:t xml:space="preserve"> Co</w:t>
      </w:r>
      <w:r>
        <w:rPr>
          <w:rFonts w:ascii="David" w:hAnsi="David"/>
          <w:b/>
          <w:bCs/>
          <w:rtl/>
        </w:rPr>
        <w:t>,</w:t>
      </w:r>
      <w:r>
        <w:rPr>
          <w:rFonts w:ascii="David" w:hAnsi="David"/>
          <w:rtl/>
        </w:rPr>
        <w:t xml:space="preserve"> פ"ד נב(1) 109, 113 (1998); </w:t>
      </w:r>
      <w:hyperlink r:id="rId13" w:history="1">
        <w:r>
          <w:rPr>
            <w:rStyle w:val="Hyperlink"/>
            <w:rFonts w:ascii="David" w:hAnsi="David"/>
            <w:rtl/>
          </w:rPr>
          <w:t>ע"א 8205/16</w:t>
        </w:r>
      </w:hyperlink>
      <w:r>
        <w:rPr>
          <w:rFonts w:ascii="David" w:hAnsi="David"/>
          <w:rtl/>
        </w:rPr>
        <w:t xml:space="preserve"> </w:t>
      </w:r>
      <w:r>
        <w:rPr>
          <w:rFonts w:ascii="David" w:hAnsi="David"/>
          <w:b/>
          <w:bCs/>
        </w:rPr>
        <w:t>CONTRASTOCK OY</w:t>
      </w:r>
      <w:r>
        <w:rPr>
          <w:rFonts w:ascii="David" w:hAnsi="David"/>
          <w:b/>
          <w:bCs/>
          <w:rtl/>
        </w:rPr>
        <w:t xml:space="preserve"> נ' </w:t>
      </w:r>
      <w:proofErr w:type="spellStart"/>
      <w:r>
        <w:rPr>
          <w:rFonts w:ascii="David" w:hAnsi="David"/>
          <w:b/>
          <w:bCs/>
          <w:rtl/>
        </w:rPr>
        <w:t>האוניה</w:t>
      </w:r>
      <w:proofErr w:type="spellEnd"/>
      <w:r>
        <w:rPr>
          <w:rFonts w:ascii="David" w:hAnsi="David"/>
          <w:b/>
          <w:bCs/>
          <w:rtl/>
        </w:rPr>
        <w:t xml:space="preserve">, </w:t>
      </w:r>
      <w:r>
        <w:rPr>
          <w:rFonts w:ascii="David" w:hAnsi="David"/>
          <w:b/>
          <w:bCs/>
        </w:rPr>
        <w:t>THOR HORIZON</w:t>
      </w:r>
      <w:r>
        <w:rPr>
          <w:rFonts w:ascii="David" w:hAnsi="David"/>
          <w:b/>
          <w:bCs/>
          <w:rtl/>
        </w:rPr>
        <w:t xml:space="preserve"> בעלת </w:t>
      </w:r>
      <w:proofErr w:type="spellStart"/>
      <w:r>
        <w:rPr>
          <w:rFonts w:ascii="David" w:hAnsi="David"/>
          <w:b/>
          <w:bCs/>
          <w:rtl/>
        </w:rPr>
        <w:t>האוניה</w:t>
      </w:r>
      <w:proofErr w:type="spellEnd"/>
      <w:r>
        <w:rPr>
          <w:rFonts w:ascii="David" w:hAnsi="David"/>
          <w:rtl/>
        </w:rPr>
        <w:t xml:space="preserve"> בעמ' 18 [פורסם בנבו] (25.01.2018) (להלן: </w:t>
      </w:r>
      <w:r>
        <w:rPr>
          <w:rFonts w:ascii="David" w:hAnsi="David"/>
          <w:b/>
          <w:bCs/>
          <w:rtl/>
        </w:rPr>
        <w:t xml:space="preserve">עניין </w:t>
      </w:r>
      <w:r>
        <w:rPr>
          <w:rFonts w:ascii="David" w:hAnsi="David"/>
          <w:b/>
          <w:bCs/>
        </w:rPr>
        <w:t>Thor</w:t>
      </w:r>
      <w:r>
        <w:rPr>
          <w:rFonts w:ascii="David" w:hAnsi="David"/>
          <w:rtl/>
        </w:rPr>
        <w:t xml:space="preserve">)). הפורום הטבעי יהיה הפורום המקומי (הטריטוריאלי), אלא אם מרב הזיקות הרלבנטיות מצביעות על כך שקיים פורום אחר אשר לו קשר </w:t>
      </w:r>
      <w:proofErr w:type="spellStart"/>
      <w:r>
        <w:rPr>
          <w:rFonts w:ascii="David" w:hAnsi="David"/>
          <w:rtl/>
        </w:rPr>
        <w:t>אמיתי</w:t>
      </w:r>
      <w:proofErr w:type="spellEnd"/>
      <w:r>
        <w:rPr>
          <w:rFonts w:ascii="David" w:hAnsi="David"/>
          <w:rtl/>
        </w:rPr>
        <w:t xml:space="preserve"> ומהותי למקרה הנידון (ע"א 3299/06</w:t>
      </w:r>
      <w:r>
        <w:rPr>
          <w:rFonts w:ascii="David" w:hAnsi="David"/>
          <w:b/>
          <w:bCs/>
          <w:rtl/>
        </w:rPr>
        <w:t xml:space="preserve"> </w:t>
      </w:r>
      <w:proofErr w:type="spellStart"/>
      <w:r>
        <w:rPr>
          <w:rFonts w:ascii="David" w:hAnsi="David"/>
          <w:b/>
          <w:bCs/>
          <w:rtl/>
        </w:rPr>
        <w:t>יובינר</w:t>
      </w:r>
      <w:proofErr w:type="spellEnd"/>
      <w:r>
        <w:rPr>
          <w:rFonts w:ascii="David" w:hAnsi="David"/>
          <w:b/>
          <w:bCs/>
          <w:rtl/>
        </w:rPr>
        <w:t xml:space="preserve"> נ' </w:t>
      </w:r>
      <w:proofErr w:type="spellStart"/>
      <w:r>
        <w:rPr>
          <w:rFonts w:ascii="David" w:hAnsi="David"/>
          <w:b/>
          <w:bCs/>
          <w:rtl/>
        </w:rPr>
        <w:t>סקלאר</w:t>
      </w:r>
      <w:proofErr w:type="spellEnd"/>
      <w:r>
        <w:rPr>
          <w:rFonts w:ascii="David" w:hAnsi="David"/>
          <w:b/>
          <w:bCs/>
          <w:rtl/>
        </w:rPr>
        <w:t>,</w:t>
      </w:r>
      <w:r>
        <w:rPr>
          <w:rFonts w:ascii="David" w:hAnsi="David"/>
          <w:rtl/>
        </w:rPr>
        <w:t xml:space="preserve"> פסקה 18 [פורסם בנבו] (26.4.2009)). נפסק, כי במציאות החיים המודרנית, נוכח הסתעפות קשרי המסחר </w:t>
      </w:r>
      <w:r>
        <w:rPr>
          <w:rFonts w:ascii="David" w:hAnsi="David"/>
          <w:b/>
          <w:bCs/>
          <w:rtl/>
        </w:rPr>
        <w:t>"ירד המשקל שיש ליחס לנוחות הצדדים עת בית המשפט מחליט שלא להפעיל את סמכותו"</w:t>
      </w:r>
      <w:r>
        <w:rPr>
          <w:rFonts w:ascii="David" w:hAnsi="David"/>
          <w:rtl/>
        </w:rPr>
        <w:t xml:space="preserve"> וכי </w:t>
      </w:r>
      <w:r>
        <w:rPr>
          <w:rFonts w:ascii="David" w:hAnsi="David"/>
          <w:b/>
          <w:bCs/>
          <w:rtl/>
        </w:rPr>
        <w:t>"כיום יקשה על צד לשכנע את בית המשפט כי הפורום אינו נאות בהתבסס על שיקולי נוחות בלבד"</w:t>
      </w:r>
      <w:r>
        <w:rPr>
          <w:rFonts w:ascii="David" w:hAnsi="David"/>
          <w:rtl/>
        </w:rPr>
        <w:t xml:space="preserve"> (</w:t>
      </w:r>
      <w:r>
        <w:rPr>
          <w:rFonts w:ascii="David" w:hAnsi="David"/>
          <w:b/>
          <w:bCs/>
          <w:rtl/>
        </w:rPr>
        <w:t>עניין אלביט</w:t>
      </w:r>
      <w:r>
        <w:rPr>
          <w:rFonts w:ascii="David" w:hAnsi="David"/>
          <w:rtl/>
        </w:rPr>
        <w:t xml:space="preserve"> בעמ' 421; </w:t>
      </w:r>
      <w:r>
        <w:rPr>
          <w:rFonts w:ascii="David" w:hAnsi="David"/>
          <w:b/>
          <w:bCs/>
          <w:rtl/>
        </w:rPr>
        <w:t xml:space="preserve">עניין </w:t>
      </w:r>
      <w:r>
        <w:rPr>
          <w:rFonts w:ascii="David" w:hAnsi="David"/>
          <w:b/>
          <w:bCs/>
        </w:rPr>
        <w:t>Thor</w:t>
      </w:r>
      <w:r>
        <w:rPr>
          <w:rFonts w:ascii="David" w:hAnsi="David"/>
        </w:rPr>
        <w:t xml:space="preserve"> </w:t>
      </w:r>
      <w:r>
        <w:rPr>
          <w:rFonts w:ascii="David" w:hAnsi="David"/>
          <w:rtl/>
        </w:rPr>
        <w:t xml:space="preserve"> בעמ' 20). במסגרת מבחן מירב הזיקות, על בית המשפט לבחון, בין היתר, מהו </w:t>
      </w:r>
      <w:r>
        <w:rPr>
          <w:rFonts w:ascii="David" w:hAnsi="David"/>
          <w:b/>
          <w:bCs/>
          <w:rtl/>
        </w:rPr>
        <w:t>"מקום מושבם של הצדדים והמקום שבו הם מנהלים את חייהם או את עסקם, גישה למקור הראיות, האפשרות לחייב עדים להעיד בבית המשפט וההוצאות הכרוכות בהבאת עדים"</w:t>
      </w:r>
      <w:r>
        <w:rPr>
          <w:rFonts w:ascii="David" w:hAnsi="David"/>
          <w:rtl/>
        </w:rPr>
        <w:t xml:space="preserve"> (</w:t>
      </w:r>
      <w:hyperlink r:id="rId14" w:history="1">
        <w:r>
          <w:rPr>
            <w:rStyle w:val="Hyperlink"/>
            <w:rFonts w:ascii="David" w:hAnsi="David"/>
            <w:rtl/>
          </w:rPr>
          <w:t>רע"א 4716/93</w:t>
        </w:r>
      </w:hyperlink>
      <w:r>
        <w:rPr>
          <w:rFonts w:ascii="David" w:hAnsi="David"/>
          <w:rtl/>
        </w:rPr>
        <w:t xml:space="preserve"> </w:t>
      </w:r>
      <w:r>
        <w:rPr>
          <w:rFonts w:ascii="David" w:hAnsi="David" w:hint="cs"/>
          <w:b/>
          <w:bCs/>
          <w:rtl/>
        </w:rPr>
        <w:t xml:space="preserve">חברה ערבית לביטוח שכם נ' עבד </w:t>
      </w:r>
      <w:proofErr w:type="spellStart"/>
      <w:r>
        <w:rPr>
          <w:rFonts w:ascii="David" w:hAnsi="David" w:hint="cs"/>
          <w:b/>
          <w:bCs/>
          <w:rtl/>
        </w:rPr>
        <w:t>זריקאת</w:t>
      </w:r>
      <w:proofErr w:type="spellEnd"/>
      <w:r>
        <w:rPr>
          <w:rFonts w:ascii="David" w:hAnsi="David" w:hint="cs"/>
          <w:b/>
          <w:bCs/>
          <w:rtl/>
        </w:rPr>
        <w:t xml:space="preserve"> </w:t>
      </w:r>
      <w:r>
        <w:rPr>
          <w:rFonts w:ascii="David" w:hAnsi="David" w:hint="cs"/>
          <w:rtl/>
        </w:rPr>
        <w:t xml:space="preserve">פ"ד מח(3) 269-270,265 (1994) (להלן: </w:t>
      </w:r>
      <w:r>
        <w:rPr>
          <w:rFonts w:ascii="David" w:hAnsi="David" w:hint="cs"/>
          <w:b/>
          <w:bCs/>
          <w:rtl/>
        </w:rPr>
        <w:t xml:space="preserve">עניין </w:t>
      </w:r>
      <w:proofErr w:type="spellStart"/>
      <w:r>
        <w:rPr>
          <w:rFonts w:ascii="David" w:hAnsi="David" w:hint="cs"/>
          <w:b/>
          <w:bCs/>
          <w:rtl/>
        </w:rPr>
        <w:t>זריקאת</w:t>
      </w:r>
      <w:proofErr w:type="spellEnd"/>
      <w:r>
        <w:rPr>
          <w:rFonts w:ascii="David" w:hAnsi="David" w:hint="cs"/>
          <w:rtl/>
        </w:rPr>
        <w:t>)). עוד יש לבחון מהו הדין החל על המקרה, ומהו הפורום הטבעי להתדיינות על פי הדין הרלוונטי (</w:t>
      </w:r>
      <w:r>
        <w:rPr>
          <w:rFonts w:ascii="David" w:hAnsi="David" w:hint="cs"/>
          <w:b/>
          <w:bCs/>
          <w:rtl/>
        </w:rPr>
        <w:t xml:space="preserve">עניין </w:t>
      </w:r>
      <w:proofErr w:type="spellStart"/>
      <w:r>
        <w:rPr>
          <w:rFonts w:ascii="David" w:hAnsi="David" w:hint="cs"/>
          <w:b/>
          <w:bCs/>
          <w:rtl/>
        </w:rPr>
        <w:t>יובינר</w:t>
      </w:r>
      <w:proofErr w:type="spellEnd"/>
      <w:r>
        <w:rPr>
          <w:rFonts w:ascii="David" w:hAnsi="David" w:hint="cs"/>
          <w:rtl/>
        </w:rPr>
        <w:t xml:space="preserve"> בעמ' 14, ובעמ' 37). נקבע  כי </w:t>
      </w:r>
      <w:r>
        <w:rPr>
          <w:rFonts w:ascii="David" w:hAnsi="David" w:hint="cs"/>
          <w:b/>
          <w:bCs/>
          <w:rtl/>
        </w:rPr>
        <w:t>"השיקול מהו הדין החל קשור קשר בל ינתק לשאלת נאותות הפורום"</w:t>
      </w:r>
      <w:r>
        <w:rPr>
          <w:rFonts w:ascii="David" w:hAnsi="David" w:hint="cs"/>
          <w:rtl/>
        </w:rPr>
        <w:t xml:space="preserve"> שכן היתרון הטבעי המוקנה לבית המשפט המכיר את הדין (</w:t>
      </w:r>
      <w:r>
        <w:rPr>
          <w:rFonts w:ascii="David" w:hAnsi="David" w:hint="cs"/>
          <w:b/>
          <w:bCs/>
          <w:rtl/>
        </w:rPr>
        <w:t xml:space="preserve">עניין </w:t>
      </w:r>
      <w:proofErr w:type="spellStart"/>
      <w:r>
        <w:rPr>
          <w:rFonts w:ascii="David" w:hAnsi="David" w:hint="cs"/>
          <w:b/>
          <w:bCs/>
          <w:rtl/>
        </w:rPr>
        <w:t>יובינר</w:t>
      </w:r>
      <w:proofErr w:type="spellEnd"/>
      <w:r>
        <w:rPr>
          <w:rFonts w:ascii="David" w:hAnsi="David" w:hint="cs"/>
          <w:rtl/>
        </w:rPr>
        <w:t xml:space="preserve"> בעמ' 13; ראו גם  </w:t>
      </w:r>
      <w:hyperlink r:id="rId15" w:history="1">
        <w:r>
          <w:rPr>
            <w:rStyle w:val="Hyperlink"/>
            <w:rFonts w:ascii="David" w:hAnsi="David"/>
            <w:rtl/>
          </w:rPr>
          <w:t>ע"א 2705/91</w:t>
        </w:r>
      </w:hyperlink>
      <w:r>
        <w:rPr>
          <w:rFonts w:ascii="David" w:hAnsi="David"/>
          <w:rtl/>
        </w:rPr>
        <w:t xml:space="preserve"> </w:t>
      </w:r>
      <w:r>
        <w:rPr>
          <w:rFonts w:ascii="David" w:hAnsi="David" w:hint="cs"/>
          <w:b/>
          <w:bCs/>
          <w:rtl/>
        </w:rPr>
        <w:t xml:space="preserve">אבו- </w:t>
      </w:r>
      <w:proofErr w:type="spellStart"/>
      <w:r>
        <w:rPr>
          <w:rFonts w:ascii="David" w:hAnsi="David" w:hint="cs"/>
          <w:b/>
          <w:bCs/>
          <w:rtl/>
        </w:rPr>
        <w:t>ג'חלה</w:t>
      </w:r>
      <w:proofErr w:type="spellEnd"/>
      <w:r>
        <w:rPr>
          <w:rFonts w:ascii="David" w:hAnsi="David" w:hint="cs"/>
          <w:b/>
          <w:bCs/>
          <w:rtl/>
        </w:rPr>
        <w:t xml:space="preserve"> נ' חברת החשמל מזרח ירושלים בע"מ</w:t>
      </w:r>
      <w:r>
        <w:rPr>
          <w:rFonts w:ascii="David" w:hAnsi="David" w:hint="cs"/>
          <w:rtl/>
        </w:rPr>
        <w:t xml:space="preserve">, פ"ד מח(1) 554, 569 (1993); </w:t>
      </w:r>
      <w:r>
        <w:rPr>
          <w:rFonts w:ascii="David" w:hAnsi="David" w:hint="cs"/>
          <w:b/>
          <w:bCs/>
          <w:rtl/>
        </w:rPr>
        <w:t xml:space="preserve">עניין </w:t>
      </w:r>
      <w:proofErr w:type="spellStart"/>
      <w:r>
        <w:rPr>
          <w:rFonts w:ascii="David" w:hAnsi="David" w:hint="cs"/>
          <w:b/>
          <w:bCs/>
          <w:rtl/>
        </w:rPr>
        <w:t>זריקאת</w:t>
      </w:r>
      <w:proofErr w:type="spellEnd"/>
      <w:r>
        <w:rPr>
          <w:rFonts w:ascii="David" w:hAnsi="David" w:hint="cs"/>
          <w:rtl/>
        </w:rPr>
        <w:t xml:space="preserve"> בעמ' 270-269).</w:t>
      </w:r>
    </w:p>
    <w:p w:rsidR="00E0442F" w:rsidRDefault="00E0442F" w:rsidP="00E0442F">
      <w:pPr>
        <w:ind w:left="567"/>
        <w:contextualSpacing/>
        <w:jc w:val="both"/>
        <w:rPr>
          <w:rFonts w:ascii="David" w:hAnsi="David"/>
        </w:rPr>
      </w:pPr>
    </w:p>
    <w:p w:rsidR="00E0442F" w:rsidRDefault="00E0442F" w:rsidP="00E0442F">
      <w:pPr>
        <w:pStyle w:val="1"/>
        <w:numPr>
          <w:ilvl w:val="0"/>
          <w:numId w:val="1"/>
        </w:numPr>
        <w:spacing w:line="360" w:lineRule="auto"/>
        <w:jc w:val="both"/>
        <w:rPr>
          <w:rFonts w:ascii="David" w:hAnsi="David"/>
          <w:rtl/>
        </w:rPr>
      </w:pPr>
      <w:r>
        <w:rPr>
          <w:rFonts w:ascii="David" w:hAnsi="David"/>
          <w:u w:val="single"/>
          <w:rtl/>
        </w:rPr>
        <w:t>במסגרת בחינת ציפיותיהם הסבירות של הצדדים</w:t>
      </w:r>
      <w:r>
        <w:rPr>
          <w:u w:val="single"/>
          <w:rtl/>
        </w:rPr>
        <w:t xml:space="preserve"> </w:t>
      </w:r>
      <w:r>
        <w:rPr>
          <w:rFonts w:ascii="David" w:hAnsi="David"/>
          <w:u w:val="single"/>
          <w:rtl/>
        </w:rPr>
        <w:t>– המבחן אובייקטיבי</w:t>
      </w:r>
      <w:r>
        <w:rPr>
          <w:rFonts w:ascii="David" w:hAnsi="David"/>
          <w:rtl/>
        </w:rPr>
        <w:t>, יש לבחון את ציפיותיהם הסבירות של הצדדים ואת היכולת לנהל הליך יעיל בארץ (ראו רע"א 6325/</w:t>
      </w:r>
      <w:r>
        <w:rPr>
          <w:rFonts w:ascii="David" w:hAnsi="David"/>
          <w:b/>
          <w:bCs/>
          <w:rtl/>
        </w:rPr>
        <w:t xml:space="preserve">04 וינברג נ' נבון </w:t>
      </w:r>
      <w:r>
        <w:rPr>
          <w:rFonts w:ascii="David" w:hAnsi="David"/>
          <w:rtl/>
        </w:rPr>
        <w:t xml:space="preserve">[פורסם בנבו] (11.7.2004); עניין אלביט). במסגרת זו, תבחן קיומה של </w:t>
      </w:r>
      <w:proofErr w:type="spellStart"/>
      <w:r>
        <w:rPr>
          <w:rFonts w:ascii="David" w:hAnsi="David"/>
          <w:rtl/>
        </w:rPr>
        <w:t>תניית</w:t>
      </w:r>
      <w:proofErr w:type="spellEnd"/>
      <w:r>
        <w:rPr>
          <w:rFonts w:ascii="David" w:hAnsi="David"/>
          <w:rtl/>
        </w:rPr>
        <w:t xml:space="preserve"> שיפוט שנקבעה בין הצדדים לבירור סכסוך עתידי בבית משפט זר(</w:t>
      </w:r>
      <w:hyperlink r:id="rId16" w:history="1">
        <w:r>
          <w:rPr>
            <w:rStyle w:val="Hyperlink"/>
            <w:rFonts w:ascii="David" w:hAnsi="David"/>
            <w:rtl/>
          </w:rPr>
          <w:t>רע"א 7342/11</w:t>
        </w:r>
      </w:hyperlink>
      <w:r>
        <w:rPr>
          <w:rFonts w:ascii="David" w:hAnsi="David"/>
          <w:rtl/>
        </w:rPr>
        <w:t xml:space="preserve"> </w:t>
      </w:r>
      <w:r>
        <w:rPr>
          <w:rFonts w:ascii="David" w:hAnsi="David" w:hint="cs"/>
          <w:b/>
          <w:bCs/>
          <w:rtl/>
        </w:rPr>
        <w:t xml:space="preserve">כלל חברה לביטוח בע"מ נ' </w:t>
      </w:r>
      <w:r>
        <w:rPr>
          <w:rFonts w:ascii="David" w:hAnsi="David"/>
          <w:b/>
          <w:bCs/>
        </w:rPr>
        <w:t xml:space="preserve"> INCOMACS</w:t>
      </w:r>
      <w:r>
        <w:rPr>
          <w:rFonts w:ascii="David" w:hAnsi="David"/>
        </w:rPr>
        <w:t xml:space="preserve"> </w:t>
      </w:r>
      <w:r>
        <w:rPr>
          <w:rFonts w:ascii="David" w:hAnsi="David"/>
          <w:rtl/>
        </w:rPr>
        <w:t xml:space="preserve"> פסקה 5 [פורסם בנבו] (02.08.2012); </w:t>
      </w:r>
      <w:hyperlink r:id="rId17" w:history="1">
        <w:r>
          <w:rPr>
            <w:rStyle w:val="Hyperlink"/>
            <w:rFonts w:ascii="David" w:hAnsi="David"/>
            <w:rtl/>
          </w:rPr>
          <w:t>בר"מ 2190/20</w:t>
        </w:r>
      </w:hyperlink>
      <w:r>
        <w:rPr>
          <w:rFonts w:ascii="David" w:hAnsi="David"/>
          <w:rtl/>
        </w:rPr>
        <w:t xml:space="preserve"> </w:t>
      </w:r>
      <w:r>
        <w:rPr>
          <w:rFonts w:ascii="David" w:hAnsi="David"/>
          <w:b/>
          <w:bCs/>
        </w:rPr>
        <w:t>G&amp;B Packing Co</w:t>
      </w:r>
      <w:r>
        <w:rPr>
          <w:rFonts w:ascii="David" w:hAnsi="David"/>
          <w:b/>
          <w:bCs/>
          <w:rtl/>
        </w:rPr>
        <w:t xml:space="preserve"> נ'</w:t>
      </w:r>
      <w:r>
        <w:rPr>
          <w:rFonts w:ascii="David" w:hAnsi="David"/>
          <w:rtl/>
        </w:rPr>
        <w:t xml:space="preserve"> </w:t>
      </w:r>
      <w:r>
        <w:rPr>
          <w:rFonts w:ascii="David" w:hAnsi="David"/>
        </w:rPr>
        <w:t xml:space="preserve">, </w:t>
      </w:r>
      <w:r>
        <w:rPr>
          <w:rFonts w:ascii="David" w:hAnsi="David"/>
          <w:b/>
          <w:bCs/>
        </w:rPr>
        <w:t xml:space="preserve">Serra International, </w:t>
      </w:r>
      <w:proofErr w:type="spellStart"/>
      <w:r>
        <w:rPr>
          <w:rFonts w:ascii="David" w:hAnsi="David"/>
          <w:b/>
          <w:bCs/>
        </w:rPr>
        <w:t>Inc</w:t>
      </w:r>
      <w:proofErr w:type="spellEnd"/>
      <w:r>
        <w:rPr>
          <w:rFonts w:ascii="David" w:hAnsi="David"/>
          <w:rtl/>
        </w:rPr>
        <w:t xml:space="preserve"> בפסקה 30 [פורסם בנבו] (25.10.2020) (להלן: </w:t>
      </w:r>
      <w:r>
        <w:rPr>
          <w:rFonts w:ascii="David" w:hAnsi="David"/>
          <w:b/>
          <w:bCs/>
          <w:rtl/>
        </w:rPr>
        <w:t xml:space="preserve">עניין </w:t>
      </w:r>
      <w:r>
        <w:rPr>
          <w:rFonts w:ascii="David" w:hAnsi="David"/>
          <w:b/>
          <w:bCs/>
        </w:rPr>
        <w:t>Serra</w:t>
      </w:r>
      <w:r>
        <w:rPr>
          <w:rFonts w:ascii="David" w:hAnsi="David"/>
          <w:rtl/>
        </w:rPr>
        <w:t xml:space="preserve">)). </w:t>
      </w:r>
    </w:p>
    <w:p w:rsidR="00E0442F" w:rsidRDefault="00E0442F" w:rsidP="00E0442F">
      <w:pPr>
        <w:pStyle w:val="1"/>
        <w:jc w:val="both"/>
        <w:rPr>
          <w:rFonts w:ascii="David" w:hAnsi="David"/>
          <w:rtl/>
        </w:rPr>
      </w:pPr>
    </w:p>
    <w:p w:rsidR="00E0442F" w:rsidRDefault="00E0442F" w:rsidP="004B6BC3">
      <w:pPr>
        <w:numPr>
          <w:ilvl w:val="0"/>
          <w:numId w:val="1"/>
        </w:numPr>
        <w:spacing w:line="360" w:lineRule="auto"/>
        <w:contextualSpacing/>
        <w:jc w:val="both"/>
        <w:rPr>
          <w:rFonts w:ascii="David" w:hAnsi="David"/>
        </w:rPr>
      </w:pPr>
      <w:r>
        <w:rPr>
          <w:rFonts w:ascii="David" w:hAnsi="David"/>
          <w:u w:val="single"/>
          <w:rtl/>
        </w:rPr>
        <w:lastRenderedPageBreak/>
        <w:t>במסגרת מבחן השיקולים הציבוריים</w:t>
      </w:r>
      <w:r>
        <w:rPr>
          <w:rFonts w:ascii="David" w:hAnsi="David"/>
          <w:rtl/>
        </w:rPr>
        <w:t xml:space="preserve"> יישקלו שיקולים שעניינם באינטרס מערכת המשפט הישראלית לדון בתובענה ביחס למערכת המשפט הזרה (</w:t>
      </w:r>
      <w:r>
        <w:rPr>
          <w:rFonts w:ascii="David" w:hAnsi="David"/>
          <w:b/>
          <w:bCs/>
          <w:rtl/>
        </w:rPr>
        <w:t>עניין אורי ארבל</w:t>
      </w:r>
      <w:r>
        <w:rPr>
          <w:rFonts w:ascii="David" w:hAnsi="David"/>
          <w:rtl/>
        </w:rPr>
        <w:t xml:space="preserve"> בפסקה 20; </w:t>
      </w:r>
      <w:r>
        <w:rPr>
          <w:rFonts w:ascii="David" w:hAnsi="David"/>
          <w:b/>
          <w:bCs/>
          <w:rtl/>
        </w:rPr>
        <w:t>עניין אלביט</w:t>
      </w:r>
      <w:r>
        <w:rPr>
          <w:rFonts w:ascii="David" w:hAnsi="David"/>
          <w:rtl/>
        </w:rPr>
        <w:t xml:space="preserve"> בעמ' 422-421). לעניין זה נפסק כי </w:t>
      </w:r>
      <w:r>
        <w:rPr>
          <w:rFonts w:ascii="David" w:hAnsi="David"/>
          <w:b/>
          <w:bCs/>
          <w:rtl/>
        </w:rPr>
        <w:t>"המשאבים השיפוטיים הינם מוגבלים. קיום הליכים בבית המשפט הישראלי על אף היותם בעלי זיקה חלשה, אם בכלל, לישראל עשוי לבוא בסופו של יום על חשבונם של מתדיינים והליכים אחרים, שזיקתם לפורום הישראלי רבה הרבה יותר"</w:t>
      </w:r>
      <w:r>
        <w:rPr>
          <w:rFonts w:ascii="David" w:hAnsi="David"/>
          <w:rtl/>
        </w:rPr>
        <w:t xml:space="preserve"> (</w:t>
      </w:r>
      <w:r>
        <w:rPr>
          <w:rFonts w:ascii="David" w:hAnsi="David"/>
          <w:b/>
          <w:bCs/>
          <w:rtl/>
        </w:rPr>
        <w:t xml:space="preserve">עניין </w:t>
      </w:r>
      <w:r>
        <w:rPr>
          <w:rFonts w:ascii="David" w:hAnsi="David"/>
          <w:b/>
          <w:bCs/>
        </w:rPr>
        <w:t>Hecke</w:t>
      </w:r>
      <w:r>
        <w:rPr>
          <w:rFonts w:ascii="David" w:hAnsi="David"/>
        </w:rPr>
        <w:t xml:space="preserve"> </w:t>
      </w:r>
      <w:r>
        <w:rPr>
          <w:rFonts w:ascii="David" w:hAnsi="David"/>
          <w:rtl/>
        </w:rPr>
        <w:t xml:space="preserve"> </w:t>
      </w:r>
      <w:r>
        <w:rPr>
          <w:rFonts w:ascii="David" w:hAnsi="David" w:hint="cs"/>
          <w:rtl/>
        </w:rPr>
        <w:t>פסקה 11 לפסק דינו של כבוד הנשיא, השופט א' גרוניס).</w:t>
      </w:r>
    </w:p>
    <w:p w:rsidR="004B6BC3" w:rsidRDefault="004B6BC3" w:rsidP="004B6BC3">
      <w:pPr>
        <w:spacing w:line="360" w:lineRule="auto"/>
        <w:ind w:left="360"/>
        <w:contextualSpacing/>
        <w:jc w:val="both"/>
        <w:rPr>
          <w:rFonts w:ascii="David" w:hAnsi="David"/>
        </w:rPr>
      </w:pPr>
    </w:p>
    <w:p w:rsidR="00E0442F" w:rsidRDefault="00E0442F" w:rsidP="00E0442F">
      <w:pPr>
        <w:pStyle w:val="1"/>
        <w:numPr>
          <w:ilvl w:val="0"/>
          <w:numId w:val="1"/>
        </w:numPr>
        <w:spacing w:line="360" w:lineRule="auto"/>
        <w:jc w:val="both"/>
        <w:rPr>
          <w:rFonts w:ascii="David" w:hAnsi="David"/>
        </w:rPr>
      </w:pPr>
      <w:r>
        <w:rPr>
          <w:rFonts w:ascii="David" w:hAnsi="David"/>
          <w:rtl/>
        </w:rPr>
        <w:t>הנטל להוכיח שקיים פורום זר אשר מתאים יותר לדון בתביעה מוטל על הנתבע</w:t>
      </w:r>
      <w:r w:rsidR="004B6BC3">
        <w:rPr>
          <w:rFonts w:ascii="David" w:hAnsi="David" w:hint="cs"/>
          <w:rtl/>
        </w:rPr>
        <w:t xml:space="preserve"> </w:t>
      </w:r>
      <w:r>
        <w:rPr>
          <w:rFonts w:ascii="David" w:hAnsi="David"/>
          <w:rtl/>
        </w:rPr>
        <w:t>- טוען הטענה זאת באופן בו המבחן אינו של מאזן נוחות רגיל, אלא על הנתבע, מוטל הנטל להראות שהמאזן נוטה בבירור ובאופן מובהק לעבר הפורום הזר (</w:t>
      </w:r>
      <w:hyperlink r:id="rId18" w:history="1">
        <w:r>
          <w:rPr>
            <w:rStyle w:val="Hyperlink"/>
            <w:rFonts w:ascii="David" w:hAnsi="David"/>
            <w:rtl/>
          </w:rPr>
          <w:t>ע"א 3299/06</w:t>
        </w:r>
      </w:hyperlink>
      <w:r>
        <w:rPr>
          <w:rFonts w:ascii="David" w:hAnsi="David"/>
          <w:rtl/>
        </w:rPr>
        <w:t xml:space="preserve"> </w:t>
      </w:r>
      <w:proofErr w:type="spellStart"/>
      <w:r>
        <w:rPr>
          <w:rFonts w:ascii="David" w:hAnsi="David" w:hint="cs"/>
          <w:b/>
          <w:bCs/>
          <w:rtl/>
        </w:rPr>
        <w:t>יובינר</w:t>
      </w:r>
      <w:proofErr w:type="spellEnd"/>
      <w:r>
        <w:rPr>
          <w:rFonts w:ascii="David" w:hAnsi="David" w:hint="cs"/>
          <w:b/>
          <w:bCs/>
          <w:rtl/>
        </w:rPr>
        <w:t xml:space="preserve"> נ' </w:t>
      </w:r>
      <w:proofErr w:type="spellStart"/>
      <w:r>
        <w:rPr>
          <w:rFonts w:ascii="David" w:hAnsi="David" w:hint="cs"/>
          <w:b/>
          <w:bCs/>
          <w:rtl/>
        </w:rPr>
        <w:t>סקלאר</w:t>
      </w:r>
      <w:proofErr w:type="spellEnd"/>
      <w:r>
        <w:rPr>
          <w:rFonts w:ascii="David" w:hAnsi="David" w:hint="cs"/>
          <w:rtl/>
        </w:rPr>
        <w:t xml:space="preserve">, פסקה 18 [פורסם בנבו] (26.4.2009) (להלן: </w:t>
      </w:r>
      <w:r>
        <w:rPr>
          <w:rFonts w:ascii="David" w:hAnsi="David" w:hint="cs"/>
          <w:b/>
          <w:bCs/>
          <w:rtl/>
        </w:rPr>
        <w:t xml:space="preserve">עניין </w:t>
      </w:r>
      <w:proofErr w:type="spellStart"/>
      <w:r>
        <w:rPr>
          <w:rFonts w:ascii="David" w:hAnsi="David" w:hint="cs"/>
          <w:b/>
          <w:bCs/>
          <w:rtl/>
        </w:rPr>
        <w:t>יובינר</w:t>
      </w:r>
      <w:proofErr w:type="spellEnd"/>
      <w:r>
        <w:rPr>
          <w:rFonts w:ascii="David" w:hAnsi="David" w:hint="cs"/>
          <w:rtl/>
        </w:rPr>
        <w:t xml:space="preserve">); </w:t>
      </w:r>
      <w:r>
        <w:rPr>
          <w:rFonts w:ascii="David" w:hAnsi="David" w:hint="cs"/>
          <w:b/>
          <w:bCs/>
          <w:rtl/>
        </w:rPr>
        <w:t>עניין אלביט</w:t>
      </w:r>
      <w:r>
        <w:rPr>
          <w:rFonts w:ascii="David" w:hAnsi="David" w:hint="cs"/>
          <w:rtl/>
        </w:rPr>
        <w:t xml:space="preserve"> בעמ' 421).</w:t>
      </w:r>
    </w:p>
    <w:p w:rsidR="00E0442F" w:rsidRDefault="00E0442F" w:rsidP="00E0442F">
      <w:pPr>
        <w:spacing w:line="360" w:lineRule="auto"/>
        <w:jc w:val="both"/>
        <w:rPr>
          <w:rFonts w:ascii="David" w:hAnsi="David"/>
          <w:b/>
          <w:bCs/>
          <w:rtl/>
        </w:rPr>
      </w:pPr>
    </w:p>
    <w:p w:rsidR="00E0442F" w:rsidRDefault="00E0442F" w:rsidP="00E0442F">
      <w:pPr>
        <w:spacing w:line="360" w:lineRule="auto"/>
        <w:jc w:val="both"/>
        <w:rPr>
          <w:rFonts w:ascii="David" w:hAnsi="David"/>
          <w:b/>
          <w:bCs/>
          <w:u w:val="single"/>
          <w:rtl/>
        </w:rPr>
      </w:pPr>
      <w:r>
        <w:rPr>
          <w:rFonts w:ascii="David" w:hAnsi="David"/>
          <w:b/>
          <w:bCs/>
          <w:u w:val="single"/>
          <w:rtl/>
        </w:rPr>
        <w:t xml:space="preserve">מן הדין אל בעלי הדין: </w:t>
      </w:r>
    </w:p>
    <w:p w:rsidR="00E0442F" w:rsidRDefault="00E0442F" w:rsidP="00E0442F">
      <w:pPr>
        <w:jc w:val="both"/>
        <w:rPr>
          <w:rFonts w:ascii="David" w:hAnsi="David"/>
          <w:b/>
          <w:bCs/>
          <w:u w:val="single"/>
          <w:rtl/>
        </w:rPr>
      </w:pPr>
    </w:p>
    <w:p w:rsidR="00E0442F" w:rsidRDefault="00E0442F" w:rsidP="004B6BC3">
      <w:pPr>
        <w:pStyle w:val="aa"/>
        <w:numPr>
          <w:ilvl w:val="0"/>
          <w:numId w:val="1"/>
        </w:numPr>
        <w:spacing w:line="360" w:lineRule="auto"/>
        <w:jc w:val="both"/>
        <w:rPr>
          <w:rFonts w:ascii="David" w:hAnsi="David"/>
          <w:rtl/>
        </w:rPr>
      </w:pPr>
      <w:r>
        <w:rPr>
          <w:rFonts w:ascii="David" w:hAnsi="David"/>
          <w:rtl/>
        </w:rPr>
        <w:t xml:space="preserve">במקרה לפניי, הגעתי לכלל מסקנה שזולת מקום מגורי הנתבעים 1-3 בישראל, הזיקות הדומיננטיות מובילות לכך שהפורום הנאות לבירור התובענה, בגרמניה; לאור העקרונות שפורטו לעיל, לפורום הגרמני מרב הזיקות הרלוונטיות להן הקשר </w:t>
      </w:r>
      <w:proofErr w:type="spellStart"/>
      <w:r>
        <w:rPr>
          <w:rFonts w:ascii="David" w:hAnsi="David"/>
          <w:rtl/>
        </w:rPr>
        <w:t>האמיתי</w:t>
      </w:r>
      <w:proofErr w:type="spellEnd"/>
      <w:r>
        <w:rPr>
          <w:rFonts w:ascii="David" w:hAnsi="David"/>
          <w:rtl/>
        </w:rPr>
        <w:t xml:space="preserve">, המשמעותי והמהותי למקרה נושא הדיון. התובע מבקש להוכיח את תביעתו ע"י הוכחת קיומו של הסכם נאמנות שנכרת בגרמניה. כריתת הסכם הנאמנות מהווה את לב המחלוקת ולפיכך, בין היתר נוכח מקום כריתתו, דיני הנאמנות ודיני החוזים הגרמנים הם הדינים הרלוונטיים להכרעה במחלוקת, כטענת המבקשים. זאת ועוד; לשיטת התובע, עיקר הדיון במתן סעד הצהרתי המצהיר על תוקפו של הסכם נשוא המחלוקת. אולם, מעיון בטענותיו עולה שאין כך פני הדברים, שכן </w:t>
      </w:r>
      <w:proofErr w:type="spellStart"/>
      <w:r>
        <w:rPr>
          <w:rFonts w:ascii="David" w:hAnsi="David"/>
          <w:rtl/>
        </w:rPr>
        <w:t>הסעדים</w:t>
      </w:r>
      <w:proofErr w:type="spellEnd"/>
      <w:r>
        <w:rPr>
          <w:rFonts w:ascii="David" w:hAnsi="David"/>
          <w:rtl/>
        </w:rPr>
        <w:t xml:space="preserve"> הנתבעים כוללים גם </w:t>
      </w:r>
      <w:r>
        <w:rPr>
          <w:rFonts w:ascii="David" w:hAnsi="David"/>
          <w:b/>
          <w:bCs/>
          <w:rtl/>
        </w:rPr>
        <w:t>סעד לצו עשה</w:t>
      </w:r>
      <w:r>
        <w:rPr>
          <w:rFonts w:ascii="David" w:hAnsi="David"/>
          <w:rtl/>
        </w:rPr>
        <w:t xml:space="preserve"> כנגד הנתבעים, לרבות הנתבעת 4, לפעול להעברת מלוא הון המניות של החברה לידיו, אגב ביצוע הפעולות הנדרשות עפ"י הדין הגרמני, ובפרט לפני רשם החברות, רשויות המס וכל רשות מוסמכת רלוונטית בגרמניה (ר' סעיף 2 לכתב התביעה).</w:t>
      </w:r>
    </w:p>
    <w:p w:rsidR="00E0442F" w:rsidRDefault="00E0442F" w:rsidP="00E0442F">
      <w:pPr>
        <w:pStyle w:val="aa"/>
        <w:spacing w:line="360" w:lineRule="auto"/>
        <w:ind w:left="360"/>
        <w:jc w:val="both"/>
        <w:rPr>
          <w:rFonts w:ascii="David" w:hAnsi="David"/>
          <w:rtl/>
        </w:rPr>
      </w:pPr>
    </w:p>
    <w:p w:rsidR="00E0442F" w:rsidRDefault="00E0442F" w:rsidP="00E0442F">
      <w:pPr>
        <w:pStyle w:val="aa"/>
        <w:numPr>
          <w:ilvl w:val="0"/>
          <w:numId w:val="1"/>
        </w:numPr>
        <w:spacing w:line="360" w:lineRule="auto"/>
        <w:jc w:val="both"/>
        <w:rPr>
          <w:rFonts w:ascii="David" w:hAnsi="David"/>
          <w:rtl/>
        </w:rPr>
      </w:pPr>
      <w:r>
        <w:rPr>
          <w:rFonts w:ascii="David" w:hAnsi="David"/>
          <w:rtl/>
        </w:rPr>
        <w:t xml:space="preserve">כך גם לצורך הוכחת הבעלות בחברה </w:t>
      </w:r>
      <w:proofErr w:type="spellStart"/>
      <w:r>
        <w:rPr>
          <w:rFonts w:ascii="David" w:hAnsi="David"/>
          <w:rtl/>
        </w:rPr>
        <w:t>מכח</w:t>
      </w:r>
      <w:proofErr w:type="spellEnd"/>
      <w:r>
        <w:rPr>
          <w:rFonts w:ascii="David" w:hAnsi="David"/>
          <w:rtl/>
        </w:rPr>
        <w:t xml:space="preserve"> ההסכם, מבקש התובע להסתמך על פעילותו בחברה לאורך השנים וכן על עדותם של  עדים שונים, אשר לטענת המבקשים, שלא נסתרה ע"י התובע,  מתגוררים בגרמניה, למעט עד אחד המתגורר בישראל. נהיר שנוכח טיבה של המחלוקת, הדורשת גם בירור עובדתי, תידרש עדותם של העדים הצריכים. משכך, ניהול ההליך לפני הפורום הנאות בגרמניה, יחסוך בהוצאות ויאפשר הליך יעיל וקצר יותר. לעניין זה אציין שהתובע טען לשיקולי נוחות של הנתבע 1 (בלבד) בשל גילו, ברם, השמיט מטיעוניו העובדתיים אודות החלטת בימ"ש מחוזי בגרמניה מיום 10.2.22, שצורפה על ידי המבקשים (נספח 1 לתשובתם), ולפיה הנתבע 1 ייחקר בישראל בהתאם להוראות אמנת האג בדבר גביית ראיות בחו"ל בעניינים אזרחיים או מסחריים. עוד אציין שאכן, מקום מושבם של הנתבעים 1-3 </w:t>
      </w:r>
      <w:r>
        <w:rPr>
          <w:rFonts w:ascii="David" w:hAnsi="David"/>
          <w:rtl/>
        </w:rPr>
        <w:lastRenderedPageBreak/>
        <w:t xml:space="preserve">בישראל, אולם, לא ניתן לומר שקיום ההליך בישראל יקל עליהם עת הם מנהלים עסקים בגרמניה מעל לשני עשורים, ואף מקום מושבה של הנתבעת 4 בגרמניה, ומשם מנהלת את עסקיה והתקשרותה העסקיות. לכך יש להוסיף, שהנתבעים בעצמם הם אלה שמבקשים את ניהול ההליך לפני הפורום הנאות בגרמניה, ובנסיבות אלה,  נהיר שלא תעמוד להם טענת נוחות, ולבטח, טענה זו לא תעמוד לתובע. </w:t>
      </w:r>
    </w:p>
    <w:p w:rsidR="00E0442F" w:rsidRDefault="00E0442F" w:rsidP="00E0442F">
      <w:pPr>
        <w:jc w:val="both"/>
        <w:rPr>
          <w:rFonts w:ascii="David" w:hAnsi="David"/>
        </w:rPr>
      </w:pPr>
    </w:p>
    <w:p w:rsidR="00E0442F" w:rsidRDefault="00E0442F" w:rsidP="004B6BC3">
      <w:pPr>
        <w:pStyle w:val="aa"/>
        <w:numPr>
          <w:ilvl w:val="0"/>
          <w:numId w:val="1"/>
        </w:numPr>
        <w:spacing w:line="360" w:lineRule="auto"/>
        <w:jc w:val="both"/>
        <w:rPr>
          <w:rFonts w:ascii="David" w:hAnsi="David"/>
        </w:rPr>
      </w:pPr>
      <w:r>
        <w:rPr>
          <w:rFonts w:ascii="David" w:hAnsi="David"/>
          <w:rtl/>
        </w:rPr>
        <w:t xml:space="preserve">זאת ועוד;  מטענות התובע בכתב תביעתו עולה שכלל המסמכים המעידים על פעילותו בחברה ובכללן, דוחות פיננסיים של החברה, הסכמי התקשרות, חשבוניות, קבלות ועוד, אף הן מצויות בידי המחזיקים השונים בגרמניה. ברי, שהגישה למסמכים אלה במסגרת ניהול הליך בגרמניה תהיה יעילה, מהירה ונגישה יותר מאשר ניהול הליך בישראל דבר אשר ידרוש סעדים </w:t>
      </w:r>
      <w:r w:rsidR="005549FC">
        <w:rPr>
          <w:rFonts w:ascii="David" w:hAnsi="David" w:hint="cs"/>
          <w:rtl/>
        </w:rPr>
        <w:t>אקסטריטוריאלי</w:t>
      </w:r>
      <w:r w:rsidR="005549FC">
        <w:rPr>
          <w:rFonts w:ascii="David" w:hAnsi="David" w:hint="eastAsia"/>
          <w:rtl/>
        </w:rPr>
        <w:t>ים</w:t>
      </w:r>
      <w:r>
        <w:rPr>
          <w:rFonts w:ascii="David" w:hAnsi="David"/>
          <w:rtl/>
        </w:rPr>
        <w:t>, כלפי אותם מחזיקים גרמניים.</w:t>
      </w:r>
    </w:p>
    <w:p w:rsidR="004B6BC3" w:rsidRPr="005549FC" w:rsidRDefault="004B6BC3" w:rsidP="004B6BC3">
      <w:pPr>
        <w:pStyle w:val="aa"/>
        <w:spacing w:line="360" w:lineRule="auto"/>
        <w:ind w:left="360"/>
        <w:jc w:val="both"/>
        <w:rPr>
          <w:rFonts w:ascii="David" w:hAnsi="David"/>
        </w:rPr>
      </w:pPr>
    </w:p>
    <w:p w:rsidR="00E0442F" w:rsidRDefault="00E0442F" w:rsidP="00E0442F">
      <w:pPr>
        <w:pStyle w:val="aa"/>
        <w:numPr>
          <w:ilvl w:val="0"/>
          <w:numId w:val="1"/>
        </w:numPr>
        <w:spacing w:line="360" w:lineRule="auto"/>
        <w:jc w:val="both"/>
        <w:rPr>
          <w:rFonts w:ascii="David" w:hAnsi="David"/>
        </w:rPr>
      </w:pPr>
      <w:r>
        <w:rPr>
          <w:rFonts w:ascii="David" w:hAnsi="David"/>
          <w:rtl/>
        </w:rPr>
        <w:t xml:space="preserve">ביחס למבחן הציפיות הסבירות של הצדדים – המבחן אובייקטיבי, מצאתי שנסיבות המקרה מטות את הכף לטובת הפורום בגרמניה; כעולה מטענות הצדדים, הפעילות העסקית המשותפת, מתקיימת כולה בגרמניה. גם הליכים המשפטיים בעניין הצדדים והפעילות העסקית, זולת התביעה לפניי, כמפורט לעיל, מתקיימים בגרמניה. משכך, במכלול הנסיבות, קרי, מקום מושבם של הצדדים, הפעילות העסקית והמקום בו התבררו הליכים משפטיים נוספים, מקובלת עליי עמדת המבקשים ולפיה במבחן הצפיות הסביר, יש לנהל את ההליכים בגרמניה. עובדה זו מקבלת משנה תוקף עת מקום מושבה של הנתבעת 4, בעניינה לב המחלוקת, בגרמניה, וכך גם מקום מושבו של התובע והמקום בו נכרת לכאורה  ההסכם . </w:t>
      </w:r>
    </w:p>
    <w:p w:rsidR="00E0442F" w:rsidRDefault="00E0442F" w:rsidP="00E0442F">
      <w:pPr>
        <w:pStyle w:val="aa"/>
        <w:rPr>
          <w:rFonts w:ascii="David" w:hAnsi="David"/>
        </w:rPr>
      </w:pPr>
    </w:p>
    <w:p w:rsidR="00E0442F" w:rsidRDefault="00E0442F" w:rsidP="004B6BC3">
      <w:pPr>
        <w:pStyle w:val="aa"/>
        <w:numPr>
          <w:ilvl w:val="0"/>
          <w:numId w:val="1"/>
        </w:numPr>
        <w:spacing w:line="360" w:lineRule="auto"/>
        <w:jc w:val="both"/>
        <w:rPr>
          <w:rFonts w:ascii="David" w:hAnsi="David"/>
        </w:rPr>
      </w:pPr>
      <w:r>
        <w:rPr>
          <w:rFonts w:ascii="David" w:hAnsi="David"/>
          <w:rtl/>
        </w:rPr>
        <w:t xml:space="preserve">גם לעניין מבחן השיקולים הציבוריים מצאתי שהכף נוטה לטובת קיום ההליך לפני הפרום הנאות בגרמניה; הסכסוך לפניי עסקי </w:t>
      </w:r>
      <w:proofErr w:type="spellStart"/>
      <w:r>
        <w:rPr>
          <w:rFonts w:ascii="David" w:hAnsi="David"/>
          <w:rtl/>
        </w:rPr>
        <w:t>גריידא</w:t>
      </w:r>
      <w:proofErr w:type="spellEnd"/>
      <w:r>
        <w:rPr>
          <w:rFonts w:ascii="David" w:hAnsi="David"/>
          <w:rtl/>
        </w:rPr>
        <w:t xml:space="preserve">, ולא מצאתי מטענות התובע שהוצג אינטרס ממשי לניהול ההליך לפני מערכת המשפט הישראלית, ואף הפוך מכך. כפי שפורט, ניהול ההליך כאן, בעוד מרבית התשתית הראייתית, אם לא כולה, מצויה בגרמניה, יכביד ויסרבל את ההליך, באופן בו יידרשו משאבים שיפוטיים רבים. כדברי כבוד הנשיא </w:t>
      </w:r>
      <w:proofErr w:type="spellStart"/>
      <w:r>
        <w:rPr>
          <w:rFonts w:ascii="David" w:hAnsi="David"/>
          <w:rtl/>
        </w:rPr>
        <w:t>גרוניס</w:t>
      </w:r>
      <w:proofErr w:type="spellEnd"/>
      <w:r>
        <w:rPr>
          <w:rFonts w:ascii="David" w:hAnsi="David"/>
          <w:rtl/>
        </w:rPr>
        <w:t xml:space="preserve">, משאבים ציבוריים אלה, מוגבלים, ומכאן, השקעתם בהליך בו הזיקה למערכת המשפט הישראלית, חלשה עד מאוד,  יבוא על חשבון בעלי דין אחרים, אשר זיקתם למערכת המשפט הישראלית, מובהקת, ואף בלעדית.   </w:t>
      </w:r>
    </w:p>
    <w:p w:rsidR="00E0442F" w:rsidRDefault="00E0442F" w:rsidP="00E0442F">
      <w:pPr>
        <w:jc w:val="both"/>
        <w:rPr>
          <w:rFonts w:ascii="David" w:hAnsi="David"/>
        </w:rPr>
      </w:pPr>
    </w:p>
    <w:p w:rsidR="00E0442F" w:rsidRDefault="00E0442F" w:rsidP="00E0442F">
      <w:pPr>
        <w:pStyle w:val="aa"/>
        <w:numPr>
          <w:ilvl w:val="0"/>
          <w:numId w:val="1"/>
        </w:numPr>
        <w:spacing w:line="360" w:lineRule="auto"/>
        <w:jc w:val="both"/>
        <w:rPr>
          <w:rFonts w:ascii="David" w:hAnsi="David"/>
        </w:rPr>
      </w:pPr>
      <w:r>
        <w:rPr>
          <w:rFonts w:ascii="David" w:hAnsi="David"/>
          <w:rtl/>
        </w:rPr>
        <w:t xml:space="preserve">מכל המפורט לעיל, על פי שלושת המבחנים המפורטים לעיל ובפרט מבחן מרב הזיקות, אני קובעת כי הפורום הישראלי אינו הפורום הנאות לדיון בתובענה ולהכריע בסוגיות העובדתיות והמשפטיות. </w:t>
      </w:r>
    </w:p>
    <w:p w:rsidR="00E0442F" w:rsidRDefault="00E0442F" w:rsidP="00E0442F">
      <w:pPr>
        <w:pStyle w:val="aa"/>
        <w:rPr>
          <w:rFonts w:ascii="David" w:hAnsi="David"/>
        </w:rPr>
      </w:pPr>
    </w:p>
    <w:p w:rsidR="00E0442F" w:rsidRDefault="00E0442F" w:rsidP="00E0442F">
      <w:pPr>
        <w:pStyle w:val="aa"/>
        <w:numPr>
          <w:ilvl w:val="0"/>
          <w:numId w:val="1"/>
        </w:numPr>
        <w:spacing w:line="360" w:lineRule="auto"/>
        <w:jc w:val="both"/>
        <w:rPr>
          <w:rFonts w:ascii="Arial" w:hAnsi="Arial"/>
        </w:rPr>
      </w:pPr>
      <w:r>
        <w:rPr>
          <w:rFonts w:ascii="David" w:hAnsi="David"/>
          <w:rtl/>
        </w:rPr>
        <w:t>למעלה מן הצורך, ומבלי לפגוע בהכרעתי לעיל, אציין שגם את טענות המבקשים ביחס לחוסר סמכות עניינית לבימ"ש לענייני משפחה מצאתי לקבל, עת לא  מתקיימים</w:t>
      </w:r>
      <w:r>
        <w:rPr>
          <w:rtl/>
        </w:rPr>
        <w:t xml:space="preserve"> התנאים המצטברים הקבועים בסעיף 1(2) </w:t>
      </w:r>
      <w:r>
        <w:rPr>
          <w:rFonts w:ascii="Arial" w:hAnsi="Arial"/>
          <w:rtl/>
        </w:rPr>
        <w:t xml:space="preserve">לחוק בית המשפט לענייני משפחה, תשנ"ה-1995. </w:t>
      </w:r>
      <w:proofErr w:type="spellStart"/>
      <w:r>
        <w:rPr>
          <w:rFonts w:ascii="Arial" w:hAnsi="Arial"/>
          <w:rtl/>
        </w:rPr>
        <w:t>ברע"א</w:t>
      </w:r>
      <w:proofErr w:type="spellEnd"/>
      <w:r>
        <w:rPr>
          <w:rFonts w:ascii="Arial" w:hAnsi="Arial"/>
          <w:rtl/>
        </w:rPr>
        <w:t xml:space="preserve"> 6558/99 </w:t>
      </w:r>
      <w:proofErr w:type="spellStart"/>
      <w:r>
        <w:rPr>
          <w:rFonts w:ascii="Arial" w:hAnsi="Arial"/>
          <w:rtl/>
        </w:rPr>
        <w:t>חבס</w:t>
      </w:r>
      <w:proofErr w:type="spellEnd"/>
      <w:r>
        <w:rPr>
          <w:rFonts w:ascii="Arial" w:hAnsi="Arial"/>
          <w:rtl/>
        </w:rPr>
        <w:t xml:space="preserve"> נ' </w:t>
      </w:r>
      <w:proofErr w:type="spellStart"/>
      <w:r>
        <w:rPr>
          <w:rFonts w:ascii="Arial" w:hAnsi="Arial"/>
          <w:rtl/>
        </w:rPr>
        <w:lastRenderedPageBreak/>
        <w:t>חבס</w:t>
      </w:r>
      <w:proofErr w:type="spellEnd"/>
      <w:r>
        <w:rPr>
          <w:rFonts w:ascii="Arial" w:hAnsi="Arial"/>
          <w:rtl/>
        </w:rPr>
        <w:t xml:space="preserve">, פ"ד נד(4), 342 (להלן: </w:t>
      </w:r>
      <w:r>
        <w:rPr>
          <w:rFonts w:ascii="Arial" w:hAnsi="Arial"/>
          <w:b/>
          <w:bCs/>
          <w:rtl/>
        </w:rPr>
        <w:t xml:space="preserve">"פרשת </w:t>
      </w:r>
      <w:proofErr w:type="spellStart"/>
      <w:r>
        <w:rPr>
          <w:rFonts w:ascii="Arial" w:hAnsi="Arial"/>
          <w:b/>
          <w:bCs/>
          <w:rtl/>
        </w:rPr>
        <w:t>חבס</w:t>
      </w:r>
      <w:proofErr w:type="spellEnd"/>
      <w:r>
        <w:rPr>
          <w:rFonts w:ascii="Arial" w:hAnsi="Arial"/>
          <w:b/>
          <w:bCs/>
          <w:rtl/>
        </w:rPr>
        <w:t>"</w:t>
      </w:r>
      <w:r>
        <w:rPr>
          <w:rFonts w:ascii="Arial" w:hAnsi="Arial"/>
          <w:rtl/>
        </w:rPr>
        <w:t xml:space="preserve">), התייחס כב' הנשיא א. ברק למשמעות המונח "סכסוך בתוך המשפחה", וקבע: </w:t>
      </w:r>
    </w:p>
    <w:p w:rsidR="00E0442F" w:rsidRDefault="00E0442F" w:rsidP="004B6BC3">
      <w:pPr>
        <w:pStyle w:val="aa"/>
        <w:spacing w:line="360" w:lineRule="auto"/>
        <w:jc w:val="both"/>
        <w:rPr>
          <w:rFonts w:ascii="Arial" w:hAnsi="Arial"/>
          <w:rtl/>
        </w:rPr>
      </w:pPr>
      <w:r>
        <w:rPr>
          <w:rFonts w:ascii="Arial" w:hAnsi="Arial"/>
          <w:b/>
          <w:bCs/>
          <w:rtl/>
        </w:rPr>
        <w:t xml:space="preserve">"נראה לי כי אמת המידה לקביעת הקשר בין עילת התביעה לבין הסכסוך בתוך המשפחה היא שהסכסוך המשפחתי תרם תרומה משמעותית לגיבושה של עילת התביעה. נמצא, כי מחד גיסא די בקשר רחוק וזניח. מאידך גיסא לא נדרש שהסיבה היחידה והבלעדית </w:t>
      </w:r>
      <w:proofErr w:type="spellStart"/>
      <w:r>
        <w:rPr>
          <w:rFonts w:ascii="Arial" w:hAnsi="Arial"/>
          <w:b/>
          <w:bCs/>
          <w:rtl/>
        </w:rPr>
        <w:t>להיוצרותה</w:t>
      </w:r>
      <w:proofErr w:type="spellEnd"/>
      <w:r>
        <w:rPr>
          <w:rFonts w:ascii="Arial" w:hAnsi="Arial"/>
          <w:b/>
          <w:bCs/>
          <w:rtl/>
        </w:rPr>
        <w:t xml:space="preserve"> של עילת התביעה הוא הסכסוך משפחתי. </w:t>
      </w:r>
      <w:r>
        <w:rPr>
          <w:rFonts w:ascii="Arial" w:hAnsi="Arial"/>
          <w:b/>
          <w:bCs/>
          <w:u w:val="single"/>
          <w:rtl/>
        </w:rPr>
        <w:t>די בכך שהסכסוך המשפחתי תרם תרומה נכבדה וחשובה להיווצרותה של עילת התביעה, כדי שנראה את עילתה של התובענה בסכסוך בתוך המשפחה"</w:t>
      </w:r>
      <w:r w:rsidRPr="004B6BC3">
        <w:rPr>
          <w:rFonts w:ascii="Arial" w:hAnsi="Arial"/>
          <w:b/>
          <w:bCs/>
          <w:rtl/>
        </w:rPr>
        <w:t xml:space="preserve">. </w:t>
      </w:r>
      <w:r w:rsidRPr="004B6BC3">
        <w:rPr>
          <w:rFonts w:ascii="Arial" w:hAnsi="Arial"/>
          <w:rtl/>
        </w:rPr>
        <w:t>(</w:t>
      </w:r>
      <w:r>
        <w:rPr>
          <w:rFonts w:ascii="Arial" w:hAnsi="Arial"/>
          <w:rtl/>
        </w:rPr>
        <w:t>הדגש</w:t>
      </w:r>
      <w:r w:rsidR="004B6BC3">
        <w:rPr>
          <w:rFonts w:ascii="Arial" w:hAnsi="Arial" w:hint="cs"/>
          <w:rtl/>
        </w:rPr>
        <w:t>ה</w:t>
      </w:r>
      <w:r>
        <w:rPr>
          <w:rFonts w:ascii="Arial" w:hAnsi="Arial"/>
          <w:rtl/>
        </w:rPr>
        <w:t xml:space="preserve"> אינה במקור; </w:t>
      </w:r>
      <w:proofErr w:type="spellStart"/>
      <w:r>
        <w:rPr>
          <w:rFonts w:ascii="Arial" w:hAnsi="Arial"/>
          <w:rtl/>
        </w:rPr>
        <w:t>ל.ד.ח</w:t>
      </w:r>
      <w:proofErr w:type="spellEnd"/>
      <w:r>
        <w:rPr>
          <w:rFonts w:ascii="Arial" w:hAnsi="Arial"/>
          <w:rtl/>
        </w:rPr>
        <w:t>)</w:t>
      </w:r>
      <w:r w:rsidR="004B6BC3">
        <w:rPr>
          <w:rFonts w:ascii="Arial" w:hAnsi="Arial" w:hint="cs"/>
          <w:rtl/>
        </w:rPr>
        <w:t>.</w:t>
      </w:r>
    </w:p>
    <w:p w:rsidR="004B6BC3" w:rsidRDefault="004B6BC3" w:rsidP="004B6BC3">
      <w:pPr>
        <w:pStyle w:val="aa"/>
        <w:spacing w:line="360" w:lineRule="auto"/>
        <w:jc w:val="both"/>
        <w:rPr>
          <w:rFonts w:ascii="Arial" w:hAnsi="Arial"/>
        </w:rPr>
      </w:pPr>
    </w:p>
    <w:p w:rsidR="00E0442F" w:rsidRDefault="00E0442F" w:rsidP="00E0442F">
      <w:pPr>
        <w:spacing w:line="360" w:lineRule="auto"/>
        <w:ind w:left="360"/>
        <w:jc w:val="both"/>
        <w:rPr>
          <w:rFonts w:ascii="Arial" w:hAnsi="Arial"/>
        </w:rPr>
      </w:pPr>
      <w:r>
        <w:rPr>
          <w:rtl/>
        </w:rPr>
        <w:t>בעניינו, מטענות הצדדים עולה באופן מובהק שעילת התובענה בסכסוך עסקי גרידא, כמו גם שסכסוך משפחתי, ככל וקיים, לא תרם תרומה משמעותית למחלוקת.</w:t>
      </w:r>
      <w:r>
        <w:rPr>
          <w:rFonts w:ascii="Arial" w:hAnsi="Arial"/>
          <w:rtl/>
        </w:rPr>
        <w:t xml:space="preserve"> מכאן, הרי שלא מתקיימים התנאים הקבועים בחוק לבירור התובענה לפני בית המשפט לענייני משפחה, ודי בכך בכדי להורות על מחיקתה. </w:t>
      </w:r>
    </w:p>
    <w:p w:rsidR="00E0442F" w:rsidRDefault="00E0442F" w:rsidP="004B6BC3">
      <w:pPr>
        <w:jc w:val="both"/>
        <w:rPr>
          <w:rFonts w:ascii="David" w:hAnsi="David"/>
          <w:rtl/>
        </w:rPr>
      </w:pPr>
    </w:p>
    <w:p w:rsidR="00E0442F" w:rsidRDefault="00E0442F" w:rsidP="00E0442F">
      <w:pPr>
        <w:pStyle w:val="aa"/>
        <w:rPr>
          <w:rFonts w:ascii="David" w:hAnsi="David"/>
          <w:rtl/>
        </w:rPr>
      </w:pPr>
    </w:p>
    <w:p w:rsidR="00E0442F" w:rsidRDefault="00E0442F" w:rsidP="00E0442F">
      <w:pPr>
        <w:pStyle w:val="aa"/>
        <w:numPr>
          <w:ilvl w:val="0"/>
          <w:numId w:val="1"/>
        </w:numPr>
        <w:spacing w:line="360" w:lineRule="auto"/>
        <w:jc w:val="both"/>
        <w:rPr>
          <w:rFonts w:ascii="David" w:hAnsi="David"/>
          <w:rtl/>
        </w:rPr>
      </w:pPr>
      <w:r>
        <w:rPr>
          <w:rFonts w:ascii="David" w:hAnsi="David"/>
          <w:rtl/>
        </w:rPr>
        <w:t>לאור המסקנה אליה הגעתי, לא מצאתי לדון בבקשת הנתבעים לחיוב התובע בהפקדת ערובה.</w:t>
      </w:r>
    </w:p>
    <w:p w:rsidR="00E0442F" w:rsidRDefault="00E0442F" w:rsidP="00E0442F">
      <w:pPr>
        <w:pStyle w:val="aa"/>
        <w:spacing w:line="360" w:lineRule="auto"/>
        <w:ind w:left="360"/>
        <w:jc w:val="both"/>
        <w:rPr>
          <w:rFonts w:ascii="David" w:hAnsi="David"/>
          <w:rtl/>
        </w:rPr>
      </w:pPr>
    </w:p>
    <w:p w:rsidR="00E0442F" w:rsidRDefault="00E0442F" w:rsidP="00E0442F">
      <w:pPr>
        <w:pStyle w:val="aa"/>
        <w:numPr>
          <w:ilvl w:val="0"/>
          <w:numId w:val="1"/>
        </w:numPr>
        <w:spacing w:line="360" w:lineRule="auto"/>
        <w:jc w:val="both"/>
        <w:rPr>
          <w:rFonts w:ascii="David" w:hAnsi="David"/>
        </w:rPr>
      </w:pPr>
      <w:r>
        <w:rPr>
          <w:rFonts w:ascii="David" w:hAnsi="David"/>
          <w:rtl/>
        </w:rPr>
        <w:t>מכל האמור, אני קובעת שבית המשפט כאן נעדר סמכות לדון בתביעה, ובהתאמה לכך, מורה על מחיקתה;  נוכח התוצאה אליה הגעתי ולאחר שנתתי דעתי להליכים להם נדרשו המבקשים</w:t>
      </w:r>
      <w:r w:rsidR="004B6BC3">
        <w:rPr>
          <w:rFonts w:ascii="David" w:hAnsi="David" w:hint="cs"/>
          <w:rtl/>
        </w:rPr>
        <w:t xml:space="preserve"> </w:t>
      </w:r>
      <w:r>
        <w:rPr>
          <w:rFonts w:ascii="David" w:hAnsi="David"/>
          <w:rtl/>
        </w:rPr>
        <w:t xml:space="preserve">- הנתבעים במסגרת ההליך, אני מחייבת את התובע בהוצאותיהם בסך 8,000 ₪. </w:t>
      </w:r>
      <w:r>
        <w:rPr>
          <w:rtl/>
        </w:rPr>
        <w:t xml:space="preserve">התשלום יבוצע תוך 30 ימים שאם לא כן יישא הסכום הפרשי ריבית והצמדה החל מהיום ועד ליום התשלום המלא בפועל. </w:t>
      </w:r>
    </w:p>
    <w:p w:rsidR="00E0442F" w:rsidRDefault="00E0442F" w:rsidP="00E0442F">
      <w:pPr>
        <w:spacing w:line="360" w:lineRule="auto"/>
        <w:jc w:val="both"/>
        <w:rPr>
          <w:rFonts w:ascii="David" w:hAnsi="David"/>
        </w:rPr>
      </w:pPr>
    </w:p>
    <w:p w:rsidR="00E0442F" w:rsidRDefault="00E0442F" w:rsidP="00E0442F">
      <w:pPr>
        <w:spacing w:line="360" w:lineRule="auto"/>
        <w:jc w:val="both"/>
        <w:rPr>
          <w:rFonts w:ascii="David" w:hAnsi="David"/>
          <w:rtl/>
        </w:rPr>
      </w:pPr>
      <w:r>
        <w:rPr>
          <w:rFonts w:ascii="David" w:hAnsi="David"/>
          <w:b/>
          <w:bCs/>
          <w:u w:val="single"/>
          <w:rtl/>
        </w:rPr>
        <w:t>המזכירות</w:t>
      </w:r>
      <w:r>
        <w:rPr>
          <w:rFonts w:ascii="David" w:hAnsi="David"/>
          <w:rtl/>
        </w:rPr>
        <w:t xml:space="preserve"> תמציא פס"ד לצדדים ותסגור את התיק. </w:t>
      </w:r>
    </w:p>
    <w:p w:rsidR="00E0442F" w:rsidRDefault="00E0442F" w:rsidP="00E0442F">
      <w:pPr>
        <w:spacing w:line="360" w:lineRule="auto"/>
        <w:jc w:val="both"/>
        <w:rPr>
          <w:rFonts w:ascii="David" w:hAnsi="David"/>
          <w:rtl/>
        </w:rPr>
      </w:pPr>
    </w:p>
    <w:p w:rsidR="00E0442F" w:rsidRDefault="00E0442F" w:rsidP="00E0442F">
      <w:pPr>
        <w:spacing w:line="360" w:lineRule="auto"/>
        <w:jc w:val="both"/>
        <w:rPr>
          <w:rFonts w:ascii="David" w:hAnsi="David"/>
          <w:rtl/>
        </w:rPr>
      </w:pPr>
      <w:r>
        <w:rPr>
          <w:rFonts w:ascii="David" w:hAnsi="David"/>
          <w:rtl/>
        </w:rPr>
        <w:t xml:space="preserve">פס"ד מותר לפרסום בהשמטת כל פרט מזהה ובכפוף לתיקוני הגהה. </w:t>
      </w:r>
    </w:p>
    <w:p w:rsidR="00E0442F" w:rsidRDefault="00E0442F" w:rsidP="00E0442F">
      <w:pPr>
        <w:spacing w:line="360" w:lineRule="auto"/>
        <w:jc w:val="both"/>
        <w:rPr>
          <w:rFonts w:ascii="Arial" w:hAnsi="Arial"/>
        </w:rPr>
      </w:pPr>
    </w:p>
    <w:p w:rsidR="00E0442F" w:rsidRPr="004B6BC3" w:rsidRDefault="00E0442F" w:rsidP="00E0442F">
      <w:pPr>
        <w:spacing w:line="360" w:lineRule="auto"/>
        <w:jc w:val="both"/>
        <w:rPr>
          <w:rFonts w:ascii="Arial" w:hAnsi="Arial"/>
          <w:b/>
          <w:bCs/>
          <w:noProof w:val="0"/>
          <w:rtl/>
        </w:rPr>
      </w:pPr>
      <w:r w:rsidRPr="004B6BC3">
        <w:rPr>
          <w:rFonts w:ascii="Arial" w:hAnsi="Arial"/>
          <w:b/>
          <w:bCs/>
          <w:noProof w:val="0"/>
          <w:rtl/>
        </w:rPr>
        <w:t xml:space="preserve">ניתן היום,  </w:t>
      </w:r>
      <w:sdt>
        <w:sdtPr>
          <w:rPr>
            <w:b/>
            <w:bCs/>
            <w:rtl/>
          </w:rPr>
          <w:alias w:val="1455"/>
          <w:tag w:val="1455"/>
          <w:id w:val="242217728"/>
          <w:text w:multiLine="1"/>
        </w:sdtPr>
        <w:sdtEndPr/>
        <w:sdtContent>
          <w:r w:rsidRPr="004B6BC3">
            <w:rPr>
              <w:rFonts w:ascii="Arial" w:hAnsi="Arial"/>
              <w:b/>
              <w:bCs/>
              <w:noProof w:val="0"/>
              <w:rtl/>
            </w:rPr>
            <w:t>י"א תשרי תשפ"ד</w:t>
          </w:r>
        </w:sdtContent>
      </w:sdt>
      <w:r w:rsidRPr="004B6BC3">
        <w:rPr>
          <w:rFonts w:ascii="Arial" w:hAnsi="Arial"/>
          <w:b/>
          <w:bCs/>
          <w:noProof w:val="0"/>
          <w:rtl/>
        </w:rPr>
        <w:t xml:space="preserve">, </w:t>
      </w:r>
      <w:sdt>
        <w:sdtPr>
          <w:rPr>
            <w:b/>
            <w:bCs/>
            <w:rtl/>
          </w:rPr>
          <w:alias w:val="1456"/>
          <w:tag w:val="1456"/>
          <w:id w:val="-1101635932"/>
          <w:text w:multiLine="1"/>
        </w:sdtPr>
        <w:sdtEndPr/>
        <w:sdtContent>
          <w:r w:rsidRPr="004B6BC3">
            <w:rPr>
              <w:rFonts w:ascii="Arial" w:hAnsi="Arial"/>
              <w:b/>
              <w:bCs/>
              <w:noProof w:val="0"/>
              <w:rtl/>
            </w:rPr>
            <w:t>26 ספטמבר 2023</w:t>
          </w:r>
        </w:sdtContent>
      </w:sdt>
      <w:r w:rsidRPr="004B6BC3">
        <w:rPr>
          <w:rFonts w:ascii="Arial" w:hAnsi="Arial"/>
          <w:b/>
          <w:bCs/>
          <w:noProof w:val="0"/>
          <w:rtl/>
        </w:rPr>
        <w:t>, בהעדר הצדדים.</w:t>
      </w:r>
    </w:p>
    <w:p w:rsidR="00E0442F" w:rsidRDefault="00E0442F" w:rsidP="00E0442F">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A4244B6CB450478EA38CEB24A6FFB941"/>
          </w:placeholder>
          <w:showingPlcHdr/>
          <w:text w:multiLine="1"/>
        </w:sdtPr>
        <w:sdtEndPr/>
        <w:sdtContent/>
      </w:sdt>
      <w:r>
        <w:rPr>
          <w:rFonts w:ascii="Arial" w:hAnsi="Arial"/>
          <w:noProof w:val="0"/>
          <w:rtl/>
        </w:rPr>
        <w:tab/>
      </w:r>
      <w:r>
        <w:rPr>
          <w:rFonts w:ascii="Arial" w:hAnsi="Arial"/>
          <w:noProof w:val="0"/>
          <w:rtl/>
        </w:rPr>
        <w:tab/>
        <w:t xml:space="preserve"> </w:t>
      </w:r>
    </w:p>
    <w:p w:rsidR="00E0442F" w:rsidRDefault="00637C52" w:rsidP="00E0442F">
      <w:pPr>
        <w:spacing w:line="360" w:lineRule="auto"/>
        <w:ind w:left="3600" w:firstLine="720"/>
        <w:rPr>
          <w:rtl/>
        </w:rPr>
      </w:pPr>
      <w:sdt>
        <w:sdtPr>
          <w:rPr>
            <w:rtl/>
          </w:rPr>
          <w:alias w:val="MergeField"/>
          <w:tag w:val="1237"/>
          <w:id w:val="-1480075751"/>
        </w:sdtPr>
        <w:sdtEndPr/>
        <w:sdtContent>
          <w:r w:rsidR="00E0442F">
            <w:drawing>
              <wp:inline distT="0" distB="0" distL="0" distR="0">
                <wp:extent cx="1331595" cy="841375"/>
                <wp:effectExtent l="0" t="0" r="190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31595" cy="841375"/>
                        </a:xfrm>
                        <a:prstGeom prst="rect">
                          <a:avLst/>
                        </a:prstGeom>
                        <a:noFill/>
                        <a:ln>
                          <a:noFill/>
                        </a:ln>
                      </pic:spPr>
                    </pic:pic>
                  </a:graphicData>
                </a:graphic>
              </wp:inline>
            </w:drawing>
          </w:r>
        </w:sdtContent>
      </w:sdt>
    </w:p>
    <w:p w:rsidR="00E0442F" w:rsidRDefault="00E0442F" w:rsidP="00E0442F">
      <w:pPr>
        <w:spacing w:line="360" w:lineRule="auto"/>
        <w:ind w:left="3600" w:firstLine="720"/>
        <w:rPr>
          <w:rFonts w:ascii="Arial" w:hAnsi="Arial"/>
          <w:noProof w:val="0"/>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sectPr w:rsidR="002A5C78" w:rsidSect="002A5C78">
      <w:headerReference w:type="even" r:id="rId20"/>
      <w:headerReference w:type="default" r:id="rId21"/>
      <w:footerReference w:type="even" r:id="rId22"/>
      <w:footerReference w:type="default" r:id="rId23"/>
      <w:headerReference w:type="first" r:id="rId24"/>
      <w:footerReference w:type="first" r:id="rId25"/>
      <w:pgSz w:w="11906" w:h="16838"/>
      <w:pgMar w:top="1440" w:right="1797" w:bottom="1440"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C52" w:rsidRDefault="00637C52" w:rsidP="002A5C78">
      <w:r>
        <w:separator/>
      </w:r>
    </w:p>
  </w:endnote>
  <w:endnote w:type="continuationSeparator" w:id="0">
    <w:p w:rsidR="00637C52" w:rsidRDefault="00637C52" w:rsidP="002A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BD" w:rsidRDefault="009B36B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68541255"/>
      <w:docPartObj>
        <w:docPartGallery w:val="Page Numbers (Bottom of Page)"/>
        <w:docPartUnique/>
      </w:docPartObj>
    </w:sdtPr>
    <w:sdtEndPr>
      <w:rPr>
        <w:cs/>
      </w:rPr>
    </w:sdtEndPr>
    <w:sdtContent>
      <w:p w:rsidR="002A5C78" w:rsidRDefault="002A5C78">
        <w:pPr>
          <w:pStyle w:val="a5"/>
          <w:jc w:val="center"/>
          <w:rPr>
            <w:rtl/>
            <w:cs/>
          </w:rPr>
        </w:pPr>
        <w:r>
          <w:fldChar w:fldCharType="begin"/>
        </w:r>
        <w:r>
          <w:rPr>
            <w:rtl/>
            <w:cs/>
          </w:rPr>
          <w:instrText>PAGE   \* MERGEFORMAT</w:instrText>
        </w:r>
        <w:r>
          <w:fldChar w:fldCharType="separate"/>
        </w:r>
        <w:r w:rsidR="00642CCF" w:rsidRPr="00642CCF">
          <w:rPr>
            <w:rtl/>
            <w:lang w:val="he-IL"/>
          </w:rPr>
          <w:t>1</w:t>
        </w:r>
        <w:r>
          <w:fldChar w:fldCharType="end"/>
        </w:r>
      </w:p>
    </w:sdtContent>
  </w:sdt>
  <w:p w:rsidR="002A5C78" w:rsidRDefault="002A5C7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BD" w:rsidRDefault="009B36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C52" w:rsidRDefault="00637C52" w:rsidP="002A5C78">
      <w:r>
        <w:separator/>
      </w:r>
    </w:p>
  </w:footnote>
  <w:footnote w:type="continuationSeparator" w:id="0">
    <w:p w:rsidR="00637C52" w:rsidRDefault="00637C52" w:rsidP="002A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BD" w:rsidRDefault="009B36B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C78" w:rsidRPr="00920EBB" w:rsidRDefault="002A5C78" w:rsidP="002A5C78">
    <w:pPr>
      <w:tabs>
        <w:tab w:val="center" w:pos="4153"/>
        <w:tab w:val="right" w:pos="8306"/>
      </w:tabs>
      <w:jc w:val="center"/>
      <w:rPr>
        <w:rFonts w:cs="FrankRuehl"/>
        <w:sz w:val="28"/>
        <w:szCs w:val="28"/>
      </w:rPr>
    </w:pPr>
    <w:r w:rsidRPr="00920EBB">
      <w:rPr>
        <w:rFonts w:cs="FrankRuehl"/>
        <w:sz w:val="28"/>
        <w:szCs w:val="28"/>
      </w:rPr>
      <w:drawing>
        <wp:inline distT="0" distB="0" distL="0" distR="0" wp14:anchorId="0C249327" wp14:editId="722DF9D6">
          <wp:extent cx="374015" cy="464185"/>
          <wp:effectExtent l="0" t="0" r="6985" b="0"/>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015" cy="464185"/>
                  </a:xfrm>
                  <a:prstGeom prst="rect">
                    <a:avLst/>
                  </a:prstGeom>
                  <a:noFill/>
                  <a:ln>
                    <a:noFill/>
                  </a:ln>
                </pic:spPr>
              </pic:pic>
            </a:graphicData>
          </a:graphic>
        </wp:inline>
      </w:drawing>
    </w:r>
    <w:r w:rsidRPr="00920EBB">
      <mc:AlternateContent>
        <mc:Choice Requires="wps">
          <w:drawing>
            <wp:anchor distT="0" distB="0" distL="114300" distR="114300" simplePos="0" relativeHeight="251659264" behindDoc="0" locked="0" layoutInCell="1" allowOverlap="1" wp14:anchorId="68D66932" wp14:editId="048E9715">
              <wp:simplePos x="0" y="0"/>
              <wp:positionH relativeFrom="margin">
                <wp:align>center</wp:align>
              </wp:positionH>
              <wp:positionV relativeFrom="margin">
                <wp:align>center</wp:align>
              </wp:positionV>
              <wp:extent cx="6071870" cy="1104265"/>
              <wp:effectExtent l="0" t="1895475" r="0" b="1962785"/>
              <wp:wrapNone/>
              <wp:docPr id="2" name="PowerPlusWaterMarkObject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A5C78" w:rsidRDefault="002A5C78" w:rsidP="002A5C78">
                          <w:pPr>
                            <w:pStyle w:val="NormalWeb"/>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D66932" id="_x0000_t202" coordsize="21600,21600" o:spt="202" path="m,l,21600r21600,l21600,xe">
              <v:stroke joinstyle="miter"/>
              <v:path gradientshapeok="t" o:connecttype="rect"/>
            </v:shapetype>
            <v:shape id="PowerPlusWaterMarkObject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" filled="f" stroked="f">
              <v:stroke joinstyle="round"/>
              <o:lock v:ext="edit" aspectratio="t" shapetype="t"/>
              <v:textbox style="mso-fit-shape-to-text:t">
                <w:txbxContent>
                  <w:p w:rsidR="002A5C78" w:rsidRDefault="002A5C78" w:rsidP="002A5C78">
                    <w:pPr>
                      <w:pStyle w:val="NormalWeb"/>
                      <w:jc w:val="center"/>
                    </w:pPr>
                  </w:p>
                </w:txbxContent>
              </v:textbox>
              <w10:wrap anchorx="margin" anchory="margin"/>
            </v:shape>
          </w:pict>
        </mc:Fallback>
      </mc:AlternateContent>
    </w:r>
  </w:p>
  <w:sdt>
    <w:sdtPr>
      <w:rPr>
        <w:rFonts w:ascii="Tahoma" w:hAnsi="Tahoma" w:cs="Tahoma"/>
        <w:b/>
        <w:bCs/>
        <w:color w:val="002060"/>
        <w:rtl/>
      </w:rPr>
      <w:alias w:val="1174"/>
      <w:tag w:val="1174"/>
      <w:id w:val="-1775709220"/>
      <w:text/>
    </w:sdtPr>
    <w:sdtEndPr/>
    <w:sdtContent>
      <w:p w:rsidR="002A5C78" w:rsidRDefault="002A5C78" w:rsidP="002A5C78">
        <w:pPr>
          <w:pStyle w:val="a3"/>
          <w:jc w:val="center"/>
          <w:rPr>
            <w:rtl/>
            <w:cs/>
          </w:rPr>
        </w:pPr>
        <w:r w:rsidRPr="00B709FB">
          <w:rPr>
            <w:rFonts w:ascii="Tahoma" w:hAnsi="Tahoma" w:cs="Tahoma"/>
            <w:b/>
            <w:bCs/>
            <w:color w:val="002060"/>
            <w:rtl/>
          </w:rPr>
          <w:t>בית משפט לענייני משפחה בקריות</w:t>
        </w:r>
      </w:p>
    </w:sdtContent>
  </w:sdt>
  <w:p w:rsidR="002A5C78" w:rsidRDefault="002A5C78" w:rsidP="002A5C78">
    <w:pPr>
      <w:pStyle w:val="a3"/>
      <w:rPr>
        <w:rtl/>
        <w:cs/>
      </w:rPr>
    </w:pPr>
  </w:p>
  <w:tbl>
    <w:tblPr>
      <w:bidiVisual/>
      <w:tblW w:w="0" w:type="auto"/>
      <w:jc w:val="center"/>
      <w:tblLook w:val="04A0" w:firstRow="1" w:lastRow="0" w:firstColumn="1" w:lastColumn="0" w:noHBand="0" w:noVBand="1"/>
    </w:tblPr>
    <w:tblGrid>
      <w:gridCol w:w="8312"/>
    </w:tblGrid>
    <w:tr w:rsidR="005E15CC" w:rsidTr="005E15CC">
      <w:trPr>
        <w:trHeight w:val="337"/>
        <w:jc w:val="center"/>
      </w:trPr>
      <w:tc>
        <w:tcPr>
          <w:tcW w:w="8312" w:type="dxa"/>
        </w:tcPr>
        <w:p w:rsidR="005E15CC" w:rsidRDefault="00637C52" w:rsidP="00641EA6">
          <w:pPr>
            <w:rPr>
              <w:b/>
              <w:bCs/>
              <w:noProof w:val="0"/>
              <w:sz w:val="26"/>
              <w:szCs w:val="26"/>
              <w:rtl/>
            </w:rPr>
          </w:pPr>
          <w:sdt>
            <w:sdtPr>
              <w:rPr>
                <w:b/>
                <w:bCs/>
                <w:noProof w:val="0"/>
                <w:sz w:val="26"/>
                <w:szCs w:val="26"/>
                <w:rtl/>
              </w:rPr>
              <w:alias w:val="1170"/>
              <w:tag w:val="1170"/>
              <w:id w:val="299038016"/>
              <w:text w:multiLine="1"/>
            </w:sdtPr>
            <w:sdtEndPr/>
            <w:sdtContent>
              <w:proofErr w:type="spellStart"/>
              <w:r w:rsidR="005E15CC">
                <w:rPr>
                  <w:b/>
                  <w:bCs/>
                  <w:noProof w:val="0"/>
                  <w:sz w:val="26"/>
                  <w:szCs w:val="26"/>
                  <w:rtl/>
                </w:rPr>
                <w:t>תמ"ש</w:t>
              </w:r>
              <w:proofErr w:type="spellEnd"/>
            </w:sdtContent>
          </w:sdt>
          <w:r w:rsidR="005E15CC">
            <w:rPr>
              <w:b/>
              <w:bCs/>
              <w:noProof w:val="0"/>
              <w:sz w:val="26"/>
              <w:szCs w:val="26"/>
              <w:rtl/>
            </w:rPr>
            <w:t xml:space="preserve"> </w:t>
          </w:r>
          <w:bookmarkStart w:id="1" w:name="_GoBack"/>
          <w:sdt>
            <w:sdtPr>
              <w:rPr>
                <w:b/>
                <w:bCs/>
                <w:noProof w:val="0"/>
                <w:sz w:val="26"/>
                <w:szCs w:val="26"/>
                <w:rtl/>
              </w:rPr>
              <w:alias w:val="1171"/>
              <w:tag w:val="1171"/>
              <w:id w:val="81650337"/>
              <w:text w:multiLine="1"/>
            </w:sdtPr>
            <w:sdtEndPr/>
            <w:sdtContent>
              <w:r w:rsidR="005E15CC">
                <w:rPr>
                  <w:b/>
                  <w:bCs/>
                  <w:noProof w:val="0"/>
                  <w:sz w:val="26"/>
                  <w:szCs w:val="26"/>
                  <w:rtl/>
                </w:rPr>
                <w:t>49393-11-22</w:t>
              </w:r>
            </w:sdtContent>
          </w:sdt>
          <w:bookmarkEnd w:id="1"/>
          <w:r w:rsidR="005E15CC">
            <w:rPr>
              <w:b/>
              <w:bCs/>
              <w:noProof w:val="0"/>
              <w:sz w:val="26"/>
              <w:szCs w:val="26"/>
              <w:rtl/>
            </w:rPr>
            <w:t xml:space="preserve"> </w:t>
          </w:r>
          <w:sdt>
            <w:sdtPr>
              <w:rPr>
                <w:b/>
                <w:bCs/>
                <w:noProof w:val="0"/>
                <w:sz w:val="26"/>
                <w:szCs w:val="26"/>
                <w:rtl/>
              </w:rPr>
              <w:alias w:val="1172"/>
              <w:tag w:val="1172"/>
              <w:id w:val="-1742169342"/>
              <w:text w:multiLine="1"/>
            </w:sdtPr>
            <w:sdtEndPr/>
            <w:sdtContent>
              <w:r w:rsidR="00641EA6">
                <w:rPr>
                  <w:rFonts w:hint="cs"/>
                  <w:b/>
                  <w:bCs/>
                  <w:noProof w:val="0"/>
                  <w:sz w:val="26"/>
                  <w:szCs w:val="26"/>
                  <w:rtl/>
                </w:rPr>
                <w:t xml:space="preserve">פלוני נ' אלמוני ואח' </w:t>
              </w:r>
            </w:sdtContent>
          </w:sdt>
        </w:p>
      </w:tc>
    </w:tr>
  </w:tbl>
  <w:p w:rsidR="005E15CC" w:rsidRDefault="005E15CC">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BD" w:rsidRDefault="009B36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8951A5"/>
    <w:multiLevelType w:val="hybridMultilevel"/>
    <w:tmpl w:val="D86E82EC"/>
    <w:lvl w:ilvl="0" w:tplc="3D289832">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51E2141F"/>
    <w:multiLevelType w:val="hybridMultilevel"/>
    <w:tmpl w:val="601C65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5B1"/>
    <w:rsid w:val="000839FC"/>
    <w:rsid w:val="00145E94"/>
    <w:rsid w:val="002A5C78"/>
    <w:rsid w:val="00422DB9"/>
    <w:rsid w:val="004B6BC3"/>
    <w:rsid w:val="005549FC"/>
    <w:rsid w:val="005E15CC"/>
    <w:rsid w:val="00637C52"/>
    <w:rsid w:val="00641EA6"/>
    <w:rsid w:val="00642CCF"/>
    <w:rsid w:val="007737F7"/>
    <w:rsid w:val="00960714"/>
    <w:rsid w:val="009B36BD"/>
    <w:rsid w:val="00A11621"/>
    <w:rsid w:val="00AA45B9"/>
    <w:rsid w:val="00B709FB"/>
    <w:rsid w:val="00BC7582"/>
    <w:rsid w:val="00E0442F"/>
    <w:rsid w:val="00F445B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8A1BF-59A3-458E-ABC0-B5E13F2B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42F"/>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C78"/>
    <w:pPr>
      <w:tabs>
        <w:tab w:val="center" w:pos="4153"/>
        <w:tab w:val="right" w:pos="8306"/>
      </w:tabs>
    </w:pPr>
  </w:style>
  <w:style w:type="character" w:customStyle="1" w:styleId="a4">
    <w:name w:val="כותרת עליונה תו"/>
    <w:basedOn w:val="a0"/>
    <w:link w:val="a3"/>
    <w:uiPriority w:val="99"/>
    <w:rsid w:val="002A5C78"/>
  </w:style>
  <w:style w:type="paragraph" w:styleId="a5">
    <w:name w:val="footer"/>
    <w:basedOn w:val="a"/>
    <w:link w:val="a6"/>
    <w:uiPriority w:val="99"/>
    <w:unhideWhenUsed/>
    <w:rsid w:val="002A5C78"/>
    <w:pPr>
      <w:tabs>
        <w:tab w:val="center" w:pos="4153"/>
        <w:tab w:val="right" w:pos="8306"/>
      </w:tabs>
    </w:pPr>
  </w:style>
  <w:style w:type="character" w:customStyle="1" w:styleId="a6">
    <w:name w:val="כותרת תחתונה תו"/>
    <w:basedOn w:val="a0"/>
    <w:link w:val="a5"/>
    <w:uiPriority w:val="99"/>
    <w:rsid w:val="002A5C78"/>
  </w:style>
  <w:style w:type="paragraph" w:styleId="NormalWeb">
    <w:name w:val="Normal (Web)"/>
    <w:basedOn w:val="a"/>
    <w:uiPriority w:val="99"/>
    <w:semiHidden/>
    <w:unhideWhenUsed/>
    <w:rsid w:val="002A5C78"/>
    <w:rPr>
      <w:rFonts w:cs="Times New Roman"/>
    </w:rPr>
  </w:style>
  <w:style w:type="paragraph" w:styleId="a7">
    <w:name w:val="Balloon Text"/>
    <w:basedOn w:val="a"/>
    <w:link w:val="a8"/>
    <w:uiPriority w:val="99"/>
    <w:semiHidden/>
    <w:unhideWhenUsed/>
    <w:rsid w:val="002A5C78"/>
    <w:rPr>
      <w:rFonts w:ascii="Tahoma" w:hAnsi="Tahoma" w:cs="Tahoma"/>
      <w:sz w:val="18"/>
      <w:szCs w:val="18"/>
    </w:rPr>
  </w:style>
  <w:style w:type="character" w:customStyle="1" w:styleId="a8">
    <w:name w:val="טקסט בלונים תו"/>
    <w:basedOn w:val="a0"/>
    <w:link w:val="a7"/>
    <w:uiPriority w:val="99"/>
    <w:semiHidden/>
    <w:rsid w:val="002A5C78"/>
    <w:rPr>
      <w:rFonts w:ascii="Tahoma" w:hAnsi="Tahoma" w:cs="Tahoma"/>
      <w:sz w:val="18"/>
      <w:szCs w:val="18"/>
    </w:rPr>
  </w:style>
  <w:style w:type="character" w:styleId="a9">
    <w:name w:val="line number"/>
    <w:basedOn w:val="a0"/>
    <w:uiPriority w:val="99"/>
    <w:semiHidden/>
    <w:unhideWhenUsed/>
    <w:rsid w:val="002A5C78"/>
  </w:style>
  <w:style w:type="character" w:styleId="Hyperlink">
    <w:name w:val="Hyperlink"/>
    <w:semiHidden/>
    <w:unhideWhenUsed/>
    <w:rsid w:val="00E0442F"/>
    <w:rPr>
      <w:noProof w:val="0"/>
      <w:color w:val="0000FF"/>
      <w:u w:val="single"/>
    </w:rPr>
  </w:style>
  <w:style w:type="paragraph" w:styleId="aa">
    <w:name w:val="List Paragraph"/>
    <w:basedOn w:val="a"/>
    <w:uiPriority w:val="34"/>
    <w:qFormat/>
    <w:rsid w:val="00E0442F"/>
    <w:pPr>
      <w:ind w:left="720"/>
      <w:contextualSpacing/>
    </w:pPr>
    <w:rPr>
      <w:noProof w:val="0"/>
    </w:rPr>
  </w:style>
  <w:style w:type="paragraph" w:customStyle="1" w:styleId="1">
    <w:name w:val="פיסקת רשימה1"/>
    <w:basedOn w:val="a"/>
    <w:qFormat/>
    <w:rsid w:val="00E0442F"/>
    <w:pPr>
      <w:ind w:left="720"/>
      <w:contextualSpacing/>
    </w:pPr>
    <w:rPr>
      <w:noProof w:val="0"/>
    </w:rPr>
  </w:style>
  <w:style w:type="table" w:styleId="ab">
    <w:name w:val="Table Grid"/>
    <w:basedOn w:val="a1"/>
    <w:rsid w:val="00E0442F"/>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850317">
      <w:bodyDiv w:val="1"/>
      <w:marLeft w:val="0"/>
      <w:marRight w:val="0"/>
      <w:marTop w:val="0"/>
      <w:marBottom w:val="0"/>
      <w:divBdr>
        <w:top w:val="none" w:sz="0" w:space="0" w:color="auto"/>
        <w:left w:val="none" w:sz="0" w:space="0" w:color="auto"/>
        <w:bottom w:val="none" w:sz="0" w:space="0" w:color="auto"/>
        <w:right w:val="none" w:sz="0" w:space="0" w:color="auto"/>
      </w:divBdr>
    </w:div>
    <w:div w:id="164970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6160080" TargetMode="External"/><Relationship Id="rId13" Type="http://schemas.openxmlformats.org/officeDocument/2006/relationships/hyperlink" Target="http://www.nevo.co.il/case/21508428" TargetMode="External"/><Relationship Id="rId18" Type="http://schemas.openxmlformats.org/officeDocument/2006/relationships/hyperlink" Target="http://www.nevo.co.il/case/5887617"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nevo.co.il/case/7662119" TargetMode="External"/><Relationship Id="rId12" Type="http://schemas.openxmlformats.org/officeDocument/2006/relationships/hyperlink" Target="http://www.nevo.co.il/case/5851954" TargetMode="External"/><Relationship Id="rId17" Type="http://schemas.openxmlformats.org/officeDocument/2006/relationships/hyperlink" Target="http://www.nevo.co.il/case/26556773"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nevo.co.il/case/5600979"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6160080"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nevo.co.il/case/17917006"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nevo.co.il/case/5854063" TargetMode="External"/><Relationship Id="rId19"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nevo.co.il/case/5878239" TargetMode="External"/><Relationship Id="rId14" Type="http://schemas.openxmlformats.org/officeDocument/2006/relationships/hyperlink" Target="http://www.nevo.co.il/case/17924178"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4244B6CB450478EA38CEB24A6FFB941"/>
        <w:category>
          <w:name w:val="כללי"/>
          <w:gallery w:val="placeholder"/>
        </w:category>
        <w:types>
          <w:type w:val="bbPlcHdr"/>
        </w:types>
        <w:behaviors>
          <w:behavior w:val="content"/>
        </w:behaviors>
        <w:guid w:val="{E2C8E2A3-2A0A-46C6-943F-68F37EE6D167}"/>
      </w:docPartPr>
      <w:docPartBody>
        <w:p w:rsidR="00CC3FE2" w:rsidRDefault="00430E9C" w:rsidP="00430E9C">
          <w:pPr>
            <w:pStyle w:val="A4244B6CB450478EA38CEB24A6FFB941"/>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E9C"/>
    <w:rsid w:val="00430E9C"/>
    <w:rsid w:val="006E4C97"/>
    <w:rsid w:val="00CC3FE2"/>
    <w:rsid w:val="00FB7FD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AE6B4227F94BA09E5C2D6845CBA341">
    <w:name w:val="C5AE6B4227F94BA09E5C2D6845CBA341"/>
    <w:rsid w:val="00430E9C"/>
    <w:pPr>
      <w:bidi/>
    </w:pPr>
  </w:style>
  <w:style w:type="paragraph" w:customStyle="1" w:styleId="AA71F7A14947407A936B33C9B562FB5F">
    <w:name w:val="AA71F7A14947407A936B33C9B562FB5F"/>
    <w:rsid w:val="00430E9C"/>
    <w:pPr>
      <w:bidi/>
    </w:pPr>
  </w:style>
  <w:style w:type="paragraph" w:customStyle="1" w:styleId="601FD663E0964969B55CB7173CC35AF4">
    <w:name w:val="601FD663E0964969B55CB7173CC35AF4"/>
    <w:rsid w:val="00430E9C"/>
    <w:pPr>
      <w:bidi/>
    </w:pPr>
  </w:style>
  <w:style w:type="paragraph" w:customStyle="1" w:styleId="3BE364C8E211414A85917536196FC5FC">
    <w:name w:val="3BE364C8E211414A85917536196FC5FC"/>
    <w:rsid w:val="00430E9C"/>
    <w:pPr>
      <w:bidi/>
    </w:pPr>
  </w:style>
  <w:style w:type="character" w:styleId="a3">
    <w:name w:val="Placeholder Text"/>
    <w:basedOn w:val="a0"/>
    <w:uiPriority w:val="99"/>
    <w:semiHidden/>
    <w:rsid w:val="00430E9C"/>
  </w:style>
  <w:style w:type="paragraph" w:customStyle="1" w:styleId="A4244B6CB450478EA38CEB24A6FFB941">
    <w:name w:val="A4244B6CB450478EA38CEB24A6FFB941"/>
    <w:rsid w:val="00430E9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2967</Words>
  <Characters>14839</Characters>
  <Application>Microsoft Office Word</Application>
  <DocSecurity>0</DocSecurity>
  <Lines>123</Lines>
  <Paragraphs>35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וינשטיין</dc:creator>
  <cp:keywords/>
  <dc:description/>
  <cp:lastModifiedBy>אסתר טטרואשילי</cp:lastModifiedBy>
  <cp:revision>2</cp:revision>
  <cp:lastPrinted>2023-07-04T07:03:00Z</cp:lastPrinted>
  <dcterms:created xsi:type="dcterms:W3CDTF">2023-10-26T06:49:00Z</dcterms:created>
  <dcterms:modified xsi:type="dcterms:W3CDTF">2023-10-26T06:49:00Z</dcterms:modified>
</cp:coreProperties>
</file>